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C515E9" w14:textId="77777777" w:rsidR="00B90C0B" w:rsidRPr="00FD6289" w:rsidRDefault="00FD6289">
      <w:pPr>
        <w:rPr>
          <w:b/>
        </w:rPr>
      </w:pPr>
      <w:r w:rsidRPr="00FD6289">
        <w:rPr>
          <w:b/>
        </w:rPr>
        <w:t>ESTÁNDAR DE PRUEBA EN LA AUDIENCIA DE MEDIDAS CAUTELARES DE URUGUAY</w:t>
      </w:r>
    </w:p>
    <w:p w14:paraId="49E67272" w14:textId="77777777" w:rsidR="00FD6289" w:rsidRDefault="00FD6289"/>
    <w:p w14:paraId="28C16159" w14:textId="5A81413E" w:rsidR="00FD6289" w:rsidRDefault="00FD6289">
      <w:r>
        <w:t>Por Marco Fandiño</w:t>
      </w:r>
      <w:r w:rsidR="00EA53F0">
        <w:rPr>
          <w:rStyle w:val="Refdenotaalpie"/>
        </w:rPr>
        <w:footnoteReference w:id="1"/>
      </w:r>
      <w:r>
        <w:t xml:space="preserve"> y Leonel González</w:t>
      </w:r>
      <w:r w:rsidR="00EA53F0">
        <w:rPr>
          <w:rStyle w:val="Refdenotaalpie"/>
        </w:rPr>
        <w:footnoteReference w:id="2"/>
      </w:r>
      <w:r w:rsidR="001E094A">
        <w:t xml:space="preserve"> </w:t>
      </w:r>
      <w:r w:rsidR="001E094A">
        <w:rPr>
          <w:rStyle w:val="Refdenotaalpie"/>
        </w:rPr>
        <w:footnoteReference w:id="3"/>
      </w:r>
    </w:p>
    <w:p w14:paraId="1DC05652" w14:textId="77777777" w:rsidR="00FD6289" w:rsidRDefault="00FD6289"/>
    <w:p w14:paraId="76BC4A19" w14:textId="77777777" w:rsidR="00FD6289" w:rsidRPr="00FD6289" w:rsidRDefault="00FD6289">
      <w:pPr>
        <w:rPr>
          <w:b/>
        </w:rPr>
      </w:pPr>
      <w:r w:rsidRPr="00FD6289">
        <w:rPr>
          <w:b/>
        </w:rPr>
        <w:t xml:space="preserve">1. </w:t>
      </w:r>
      <w:r w:rsidR="00AB1039">
        <w:rPr>
          <w:b/>
        </w:rPr>
        <w:t xml:space="preserve">PRESENTACIÓN Y </w:t>
      </w:r>
      <w:r w:rsidRPr="00FD6289">
        <w:rPr>
          <w:b/>
        </w:rPr>
        <w:t>DESCRIPCIÓN DE LA PROBLEMÁTICA</w:t>
      </w:r>
    </w:p>
    <w:p w14:paraId="307397C5" w14:textId="77777777" w:rsidR="00FD6289" w:rsidRDefault="005428FB" w:rsidP="005428FB">
      <w:pPr>
        <w:jc w:val="both"/>
      </w:pPr>
      <w:r>
        <w:t xml:space="preserve">El nuevo Código del Proceso Penal de Uruguay supone un cambio de paradigma en el modo de sustanciar la investigación y juzgamiento de los casos penales en el país. </w:t>
      </w:r>
      <w:r w:rsidR="004B4388">
        <w:t xml:space="preserve">Además de </w:t>
      </w:r>
      <w:r>
        <w:t>impone</w:t>
      </w:r>
      <w:r w:rsidR="004B4388">
        <w:t>r</w:t>
      </w:r>
      <w:r>
        <w:t xml:space="preserve"> un conjunto de </w:t>
      </w:r>
      <w:r w:rsidR="004B4388">
        <w:t xml:space="preserve">nuevas </w:t>
      </w:r>
      <w:r>
        <w:t>exigencias a todas las instituciones del sector judicial</w:t>
      </w:r>
      <w:r w:rsidR="004B4388">
        <w:t>, eleva los estándares de protección del imputado de modo que el procedimiento penal se realice bajo un debido proceso</w:t>
      </w:r>
      <w:r>
        <w:t>.</w:t>
      </w:r>
    </w:p>
    <w:p w14:paraId="5D922F9D" w14:textId="77777777" w:rsidR="005428FB" w:rsidRDefault="005428FB" w:rsidP="005428FB">
      <w:pPr>
        <w:jc w:val="both"/>
      </w:pPr>
      <w:r>
        <w:t>El sistema acusatorio que regula el CPP se asienta sobre la base de cuatro características centrales: diferencia con claridad la labor de los jueces, fiscales y defensores; establece el ejercicio de la acción penal en cabeza del Ministerio Público; introduce la oralidad como método central para la toma de decisiones jurisdiccionales; y amplía el catálogo de medidas cautelares y salidas procesales.</w:t>
      </w:r>
    </w:p>
    <w:p w14:paraId="4C398C13" w14:textId="77777777" w:rsidR="00D751F1" w:rsidRDefault="005428FB" w:rsidP="005428FB">
      <w:pPr>
        <w:jc w:val="both"/>
      </w:pPr>
      <w:r>
        <w:t>Como todo proceso legislativo complejo, el nuevo CPP gener</w:t>
      </w:r>
      <w:r w:rsidR="004B4388">
        <w:t>a</w:t>
      </w:r>
      <w:r>
        <w:t xml:space="preserve"> incert</w:t>
      </w:r>
      <w:r w:rsidR="004B4388">
        <w:t>ezas</w:t>
      </w:r>
      <w:r>
        <w:t xml:space="preserve"> </w:t>
      </w:r>
      <w:r w:rsidR="00D751F1">
        <w:t>respecto a los nuevos institutos procesales y</w:t>
      </w:r>
      <w:r>
        <w:t xml:space="preserve"> sus implicancias prácticas. Por ello, </w:t>
      </w:r>
      <w:r w:rsidR="00F849DE">
        <w:t>un</w:t>
      </w:r>
      <w:r>
        <w:t xml:space="preserve"> desafío inmediato dice relación con la necesidad de</w:t>
      </w:r>
      <w:r w:rsidR="00D751F1">
        <w:t xml:space="preserve"> clarificar el sentido</w:t>
      </w:r>
      <w:r>
        <w:t xml:space="preserve"> y alcance</w:t>
      </w:r>
      <w:r w:rsidR="00D751F1">
        <w:t xml:space="preserve"> que tendrán</w:t>
      </w:r>
      <w:r>
        <w:t xml:space="preserve"> bajo el sistema adversarial</w:t>
      </w:r>
      <w:r w:rsidR="00D751F1">
        <w:t>.</w:t>
      </w:r>
      <w:r>
        <w:t xml:space="preserve"> Uno de </w:t>
      </w:r>
      <w:r w:rsidR="004B4388">
        <w:t>l</w:t>
      </w:r>
      <w:r>
        <w:t xml:space="preserve">os temas centrales está vinculado a la </w:t>
      </w:r>
      <w:r w:rsidR="00D751F1">
        <w:t xml:space="preserve">dinámica de la audiencia de medidas cautelares. </w:t>
      </w:r>
      <w:r w:rsidR="00F849DE">
        <w:t>Al respecto</w:t>
      </w:r>
      <w:r>
        <w:t xml:space="preserve">, se abren debates como el rol de los litigantes de forma previa y durante la audiencia; la función del juez en su interlocución con las partes; el modo en que debe producirse la información; entre otros aspectos. En este trabajo </w:t>
      </w:r>
      <w:r w:rsidR="00D751F1">
        <w:t xml:space="preserve">nos concentraremos en un </w:t>
      </w:r>
      <w:r>
        <w:t>área</w:t>
      </w:r>
      <w:r w:rsidR="00D751F1">
        <w:t xml:space="preserve"> en particular: </w:t>
      </w:r>
      <w:r w:rsidR="00D751F1" w:rsidRPr="00340D77">
        <w:rPr>
          <w:b/>
        </w:rPr>
        <w:t xml:space="preserve">el estándar mínimo que el fiscal debe </w:t>
      </w:r>
      <w:r w:rsidRPr="00340D77">
        <w:rPr>
          <w:b/>
        </w:rPr>
        <w:t>superar</w:t>
      </w:r>
      <w:r w:rsidR="00D751F1" w:rsidRPr="00340D77">
        <w:rPr>
          <w:b/>
        </w:rPr>
        <w:t xml:space="preserve"> en caso de solicitar </w:t>
      </w:r>
      <w:r w:rsidR="004B4388" w:rsidRPr="00340D77">
        <w:rPr>
          <w:b/>
        </w:rPr>
        <w:t xml:space="preserve">el dictado de </w:t>
      </w:r>
      <w:r w:rsidR="00F849DE" w:rsidRPr="00340D77">
        <w:rPr>
          <w:b/>
        </w:rPr>
        <w:t>l</w:t>
      </w:r>
      <w:r w:rsidR="00D751F1" w:rsidRPr="00340D77">
        <w:rPr>
          <w:b/>
        </w:rPr>
        <w:t xml:space="preserve">a </w:t>
      </w:r>
      <w:r w:rsidR="00F849DE" w:rsidRPr="00340D77">
        <w:rPr>
          <w:b/>
        </w:rPr>
        <w:t>prisión preventiva del imputado</w:t>
      </w:r>
      <w:r w:rsidR="00D751F1">
        <w:t>.</w:t>
      </w:r>
    </w:p>
    <w:p w14:paraId="56BFA046" w14:textId="710A12E0" w:rsidR="004B4388" w:rsidRPr="00C3695F" w:rsidRDefault="00D751F1" w:rsidP="005428FB">
      <w:pPr>
        <w:jc w:val="both"/>
      </w:pPr>
      <w:r w:rsidRPr="00C3695F">
        <w:t>¿</w:t>
      </w:r>
      <w:r w:rsidR="005428FB" w:rsidRPr="00C3695F">
        <w:t>C</w:t>
      </w:r>
      <w:r w:rsidRPr="00C3695F">
        <w:t>uál es la incertidumbre</w:t>
      </w:r>
      <w:r w:rsidR="007D0926">
        <w:t xml:space="preserve"> respecto a esto</w:t>
      </w:r>
      <w:r w:rsidRPr="00C3695F">
        <w:t xml:space="preserve">? </w:t>
      </w:r>
      <w:r w:rsidR="004B4388" w:rsidRPr="00340D77">
        <w:rPr>
          <w:b/>
        </w:rPr>
        <w:t>L</w:t>
      </w:r>
      <w:r w:rsidRPr="00340D77">
        <w:rPr>
          <w:b/>
        </w:rPr>
        <w:t xml:space="preserve">a </w:t>
      </w:r>
      <w:r w:rsidR="006E2004" w:rsidRPr="00340D77">
        <w:rPr>
          <w:b/>
        </w:rPr>
        <w:t>C</w:t>
      </w:r>
      <w:r w:rsidRPr="00340D77">
        <w:rPr>
          <w:b/>
        </w:rPr>
        <w:t>onstitución</w:t>
      </w:r>
      <w:r w:rsidR="006E2004" w:rsidRPr="00340D77">
        <w:rPr>
          <w:b/>
        </w:rPr>
        <w:t xml:space="preserve"> de la República </w:t>
      </w:r>
      <w:r w:rsidRPr="00340D77">
        <w:rPr>
          <w:b/>
        </w:rPr>
        <w:t>establece</w:t>
      </w:r>
      <w:r w:rsidR="004B4388" w:rsidRPr="00340D77">
        <w:rPr>
          <w:b/>
        </w:rPr>
        <w:t>, en su artículo 15,</w:t>
      </w:r>
      <w:r w:rsidRPr="00340D77">
        <w:rPr>
          <w:b/>
        </w:rPr>
        <w:t xml:space="preserve"> un estándar de “semiplena prueba”</w:t>
      </w:r>
      <w:r w:rsidR="006E2004" w:rsidRPr="00340D77">
        <w:rPr>
          <w:b/>
        </w:rPr>
        <w:t xml:space="preserve"> </w:t>
      </w:r>
      <w:r w:rsidR="004B4388" w:rsidRPr="00340D77">
        <w:rPr>
          <w:b/>
        </w:rPr>
        <w:t>para que se dicte una orden de prisión</w:t>
      </w:r>
      <w:r w:rsidR="004B4388" w:rsidRPr="00C3695F">
        <w:t xml:space="preserve">. Mientras que, el nuevo CPP ha regulado el </w:t>
      </w:r>
      <w:r w:rsidR="004B4388" w:rsidRPr="00340D77">
        <w:rPr>
          <w:b/>
        </w:rPr>
        <w:t xml:space="preserve">mismo requisito en el artículo </w:t>
      </w:r>
      <w:r w:rsidR="00F849DE" w:rsidRPr="00340D77">
        <w:rPr>
          <w:b/>
        </w:rPr>
        <w:t>224</w:t>
      </w:r>
      <w:r w:rsidR="004B4388" w:rsidRPr="00340D77">
        <w:rPr>
          <w:b/>
        </w:rPr>
        <w:t xml:space="preserve"> para que se disponga una detención preventiva</w:t>
      </w:r>
      <w:r w:rsidR="004B4388" w:rsidRPr="00C3695F">
        <w:t>. Ahora bien, ¿cuál es la traducción práctica de esta exigencia? ¿Implica la rendición y producción de prueba o la argumentación en base a la información de la que disponen las partes?</w:t>
      </w:r>
    </w:p>
    <w:p w14:paraId="10748270" w14:textId="77777777" w:rsidR="00D751F1" w:rsidRPr="00C3695F" w:rsidRDefault="004B4388" w:rsidP="005428FB">
      <w:pPr>
        <w:jc w:val="both"/>
      </w:pPr>
      <w:r w:rsidRPr="00340D77">
        <w:rPr>
          <w:b/>
        </w:rPr>
        <w:t xml:space="preserve">Esta cláusula </w:t>
      </w:r>
      <w:r w:rsidR="00F849DE" w:rsidRPr="00340D77">
        <w:rPr>
          <w:b/>
        </w:rPr>
        <w:t>requiere ser</w:t>
      </w:r>
      <w:r w:rsidR="006E2004" w:rsidRPr="00340D77">
        <w:rPr>
          <w:b/>
        </w:rPr>
        <w:t xml:space="preserve"> </w:t>
      </w:r>
      <w:r w:rsidR="00D751F1" w:rsidRPr="00340D77">
        <w:rPr>
          <w:b/>
        </w:rPr>
        <w:t>interpretad</w:t>
      </w:r>
      <w:r w:rsidR="00C3695F" w:rsidRPr="00340D77">
        <w:rPr>
          <w:b/>
        </w:rPr>
        <w:t>a</w:t>
      </w:r>
      <w:r w:rsidR="00D751F1" w:rsidRPr="00340D77">
        <w:rPr>
          <w:b/>
        </w:rPr>
        <w:t xml:space="preserve"> </w:t>
      </w:r>
      <w:r w:rsidR="006E2004" w:rsidRPr="00340D77">
        <w:rPr>
          <w:b/>
        </w:rPr>
        <w:t>en relación a</w:t>
      </w:r>
      <w:r w:rsidR="00D751F1" w:rsidRPr="00340D77">
        <w:rPr>
          <w:b/>
        </w:rPr>
        <w:t xml:space="preserve"> las medidas cautelares</w:t>
      </w:r>
      <w:r w:rsidR="00F849DE" w:rsidRPr="00340D77">
        <w:rPr>
          <w:b/>
        </w:rPr>
        <w:t xml:space="preserve"> </w:t>
      </w:r>
      <w:r w:rsidRPr="00340D77">
        <w:rPr>
          <w:b/>
        </w:rPr>
        <w:t>en un sistema oral</w:t>
      </w:r>
      <w:r w:rsidR="00D751F1" w:rsidRPr="00C3695F">
        <w:t>.</w:t>
      </w:r>
      <w:r w:rsidR="006E2004" w:rsidRPr="00C3695F">
        <w:t xml:space="preserve"> </w:t>
      </w:r>
      <w:r w:rsidR="00D13C30" w:rsidRPr="00C3695F">
        <w:t>Por lo mismo, s</w:t>
      </w:r>
      <w:r w:rsidR="00D751F1" w:rsidRPr="00C3695F">
        <w:t>e vuelve necesario construir un criterio y dotar</w:t>
      </w:r>
      <w:r w:rsidR="00F849DE">
        <w:t>la</w:t>
      </w:r>
      <w:r w:rsidR="00D751F1" w:rsidRPr="00C3695F">
        <w:t xml:space="preserve"> de contenido específico, para que todos los actores procesales </w:t>
      </w:r>
      <w:r w:rsidR="005428FB" w:rsidRPr="00C3695F">
        <w:t>se desenvuelvan bajo un denominador común. Esto evitará la coexistencia de distintos criterios interpretativos, lo que implicaría que el sistema se inicie bajo un escenario de imprevisibilidad y heter</w:t>
      </w:r>
      <w:r w:rsidR="006E2004" w:rsidRPr="00C3695F">
        <w:t>ogeneidad en la actuación de todos los interesados</w:t>
      </w:r>
      <w:r w:rsidR="00F849DE">
        <w:t xml:space="preserve"> procesales</w:t>
      </w:r>
      <w:r w:rsidR="005428FB" w:rsidRPr="00C3695F">
        <w:t>.</w:t>
      </w:r>
    </w:p>
    <w:p w14:paraId="60BCB078" w14:textId="77777777" w:rsidR="002F54D2" w:rsidRDefault="00101BD9" w:rsidP="00101BD9">
      <w:pPr>
        <w:jc w:val="both"/>
      </w:pPr>
      <w:r w:rsidRPr="00AB1FE5">
        <w:lastRenderedPageBreak/>
        <w:t xml:space="preserve">Pues bien, </w:t>
      </w:r>
      <w:r w:rsidRPr="00340D77">
        <w:rPr>
          <w:b/>
        </w:rPr>
        <w:t xml:space="preserve">¿qué se espera de las partes en la audiencia de medidas cautelares? En lo relativo al </w:t>
      </w:r>
      <w:r w:rsidR="002F54D2" w:rsidRPr="00340D77">
        <w:rPr>
          <w:b/>
        </w:rPr>
        <w:t xml:space="preserve">estándar de </w:t>
      </w:r>
      <w:r w:rsidR="00D751F1" w:rsidRPr="00340D77">
        <w:rPr>
          <w:b/>
        </w:rPr>
        <w:t>prueba</w:t>
      </w:r>
      <w:r w:rsidR="002F54D2" w:rsidRPr="00340D77">
        <w:rPr>
          <w:b/>
        </w:rPr>
        <w:t>, se busca que el juez verifique la seriedad de los cargos que presente el Ministerio Público</w:t>
      </w:r>
      <w:r w:rsidR="002F54D2" w:rsidRPr="00AB1FE5">
        <w:t xml:space="preserve"> (que sea un “caso sólido”). </w:t>
      </w:r>
      <w:r w:rsidR="002F54D2" w:rsidRPr="00340D77">
        <w:rPr>
          <w:b/>
        </w:rPr>
        <w:t>En la experiencia comparada en la región, este ejercicio se realiza a través del método de la oralidad argumentativa</w:t>
      </w:r>
      <w:r w:rsidR="002F54D2" w:rsidRPr="00AB1FE5">
        <w:t xml:space="preserve">. Es decir, que </w:t>
      </w:r>
      <w:r w:rsidR="002F54D2" w:rsidRPr="00340D77">
        <w:rPr>
          <w:b/>
        </w:rPr>
        <w:t>las partes litigan en base a los antecedentes de los que disponen, articulando argumentos a favor de su posición</w:t>
      </w:r>
      <w:r w:rsidR="002F54D2" w:rsidRPr="00AB1FE5">
        <w:t xml:space="preserve">. </w:t>
      </w:r>
      <w:r w:rsidR="002F54D2" w:rsidRPr="00340D77">
        <w:rPr>
          <w:b/>
        </w:rPr>
        <w:t>Esto no implica la presentación física y producción de la prueba</w:t>
      </w:r>
      <w:r w:rsidR="002F54D2" w:rsidRPr="00AB1FE5">
        <w:t>, en cuyo caso no existiría diferencia con la discusión sobre la materialidad en la etapa de juicio</w:t>
      </w:r>
      <w:r w:rsidR="00AB1FE5">
        <w:t xml:space="preserve"> (de hecho, la tentación habitual </w:t>
      </w:r>
      <w:r w:rsidR="00BD59C0">
        <w:t>-</w:t>
      </w:r>
      <w:r w:rsidR="00AB1FE5">
        <w:t xml:space="preserve">y equivocada- en la región ha sido </w:t>
      </w:r>
      <w:r w:rsidR="00BD59C0">
        <w:t xml:space="preserve">la </w:t>
      </w:r>
      <w:r w:rsidR="00AB1FE5">
        <w:t>de generar “mini” juicios en la audiencia de medidas cautelares)</w:t>
      </w:r>
      <w:r w:rsidR="002F54D2" w:rsidRPr="00AB1FE5">
        <w:t xml:space="preserve">. </w:t>
      </w:r>
      <w:r w:rsidR="002F54D2" w:rsidRPr="00340D77">
        <w:rPr>
          <w:b/>
        </w:rPr>
        <w:t>Lo que se busca es que las partes den cuenta de la información que han recolectado</w:t>
      </w:r>
      <w:r w:rsidR="002F54D2" w:rsidRPr="00AB1FE5">
        <w:t xml:space="preserve"> (el fiscal lo hará para configurar la existencia del hecho). La </w:t>
      </w:r>
      <w:r w:rsidR="002F54D2" w:rsidRPr="00340D77">
        <w:rPr>
          <w:b/>
        </w:rPr>
        <w:t>seriedad de cargos</w:t>
      </w:r>
      <w:r w:rsidR="002F54D2" w:rsidRPr="00AB1FE5">
        <w:t xml:space="preserve"> (o materialidad) se compone de tres preguntas básicas que debe responder el fiscal: ¿se ha producido el hecho? ¿Ese hecho es constitutivo de un delito? ¿Ha participado de alguna forma el imputado en la comisión de ese delito? Para responder estas tres preguntas no es necesaria la producción de prueba</w:t>
      </w:r>
      <w:r w:rsidR="006801EA" w:rsidRPr="00AB1FE5">
        <w:rPr>
          <w:rStyle w:val="Refdenotaalpie"/>
        </w:rPr>
        <w:footnoteReference w:id="4"/>
      </w:r>
      <w:r w:rsidR="002F54D2" w:rsidRPr="00AB1FE5">
        <w:t>.</w:t>
      </w:r>
    </w:p>
    <w:p w14:paraId="41CAC4C2" w14:textId="7F92934B" w:rsidR="00AB1FE5" w:rsidRDefault="00AB1FE5" w:rsidP="00101BD9">
      <w:pPr>
        <w:jc w:val="both"/>
      </w:pPr>
      <w:r>
        <w:t xml:space="preserve">Con lo cual, </w:t>
      </w:r>
      <w:r w:rsidR="007D0926" w:rsidRPr="00340D77">
        <w:rPr>
          <w:b/>
        </w:rPr>
        <w:t>se propone i</w:t>
      </w:r>
      <w:r w:rsidR="00340D77" w:rsidRPr="00340D77">
        <w:rPr>
          <w:b/>
        </w:rPr>
        <w:t>nterpretar la cláusula de “semi</w:t>
      </w:r>
      <w:r w:rsidR="007D0926" w:rsidRPr="00340D77">
        <w:rPr>
          <w:b/>
        </w:rPr>
        <w:t>plena prueba” bajo la lógica de la oralidad argumentativa, esto es, la discusión en base al respaldo de información que ofrezcan los litigantes.</w:t>
      </w:r>
      <w:r w:rsidR="007D0926">
        <w:t xml:space="preserve"> Esto implica que todos los actores intervinientes estén en búsqueda de la seriedad de la imputación.</w:t>
      </w:r>
    </w:p>
    <w:p w14:paraId="1AEB262A" w14:textId="77777777" w:rsidR="006F43A1" w:rsidRDefault="007D0926" w:rsidP="00101BD9">
      <w:pPr>
        <w:jc w:val="both"/>
      </w:pPr>
      <w:r w:rsidRPr="00340D77">
        <w:rPr>
          <w:b/>
        </w:rPr>
        <w:t xml:space="preserve">¿Qué dinámica particular impone este criterio a cada uno de los actores? Al Ministerio Público le significará </w:t>
      </w:r>
      <w:r w:rsidR="006F43A1" w:rsidRPr="00340D77">
        <w:rPr>
          <w:b/>
        </w:rPr>
        <w:t>la tarea principal: acreditar la materialidad</w:t>
      </w:r>
      <w:r w:rsidR="006F43A1">
        <w:t xml:space="preserve">. Esto representará </w:t>
      </w:r>
      <w:r>
        <w:t xml:space="preserve">el despliegue de diversas estrategias de recolección y constatación de información acerca de la situación del imputado. </w:t>
      </w:r>
      <w:r w:rsidR="00F47CA9">
        <w:t>Veamos un ejemplo: s</w:t>
      </w:r>
      <w:r>
        <w:t>i un fiscal adujera</w:t>
      </w:r>
      <w:r w:rsidR="00F47CA9" w:rsidRPr="00F47CA9">
        <w:t xml:space="preserve"> </w:t>
      </w:r>
      <w:r w:rsidR="00F47CA9">
        <w:t>en una audiencia</w:t>
      </w:r>
      <w:r>
        <w:t xml:space="preserve"> que existe “riesgo de fuga” haciendo mención de la calificación legal o el monto de pena del delito imputado, ese argumento sería fácilmente rechazado por un juez en tanto no se refiere a elementos concretos. </w:t>
      </w:r>
      <w:r w:rsidR="00F47CA9" w:rsidRPr="00340D77">
        <w:rPr>
          <w:color w:val="FF0000"/>
        </w:rPr>
        <w:t xml:space="preserve">La Corte Interamericana de Derechos Humanos (a cuya jurisdicción se ha sometido el Uruguay) ha sostenido “la necesidad de que la prisión preventiva se justifique en el caso concreto, a través de la ponderación de los elementos que concurren a este y </w:t>
      </w:r>
      <w:r w:rsidR="006F43A1" w:rsidRPr="00340D77">
        <w:rPr>
          <w:color w:val="FF0000"/>
        </w:rPr>
        <w:t xml:space="preserve">que </w:t>
      </w:r>
      <w:r w:rsidR="00F47CA9" w:rsidRPr="00340D77">
        <w:rPr>
          <w:color w:val="FF0000"/>
        </w:rPr>
        <w:t>en ningún caso la aplicación de</w:t>
      </w:r>
      <w:r w:rsidR="006F43A1" w:rsidRPr="00340D77">
        <w:rPr>
          <w:color w:val="FF0000"/>
        </w:rPr>
        <w:t xml:space="preserve"> tal medida cautelar sea determinada por el tipo de delito que se impute al individuo”</w:t>
      </w:r>
      <w:r w:rsidR="000548E4">
        <w:rPr>
          <w:rStyle w:val="Refdenotaalpie"/>
        </w:rPr>
        <w:footnoteReference w:id="5"/>
      </w:r>
      <w:r w:rsidR="006F43A1">
        <w:t xml:space="preserve">. De ello se desprende </w:t>
      </w:r>
      <w:r w:rsidR="006F43A1" w:rsidRPr="00340D77">
        <w:rPr>
          <w:b/>
        </w:rPr>
        <w:t>que los fiscales acrediten sus peticiones en base información previamente identificada</w:t>
      </w:r>
      <w:r w:rsidR="006F43A1">
        <w:t xml:space="preserve">. </w:t>
      </w:r>
    </w:p>
    <w:p w14:paraId="4A23CB03" w14:textId="77777777" w:rsidR="007D0926" w:rsidRDefault="006F43A1" w:rsidP="00101BD9">
      <w:pPr>
        <w:jc w:val="both"/>
      </w:pPr>
      <w:r>
        <w:t>Por otra parte</w:t>
      </w:r>
      <w:r w:rsidRPr="00340D77">
        <w:rPr>
          <w:b/>
        </w:rPr>
        <w:t>, a la defensa le implica desarrollar una línea de investigación propia que le permita controvertir los planteos que realice el fiscal. Por ello se vuelve central que los abogados defensores también produzcan información sobre el imputado</w:t>
      </w:r>
      <w:r>
        <w:t>, que sirva para la audiencia de medida cautelar.</w:t>
      </w:r>
    </w:p>
    <w:p w14:paraId="5A2FFCF1" w14:textId="77777777" w:rsidR="006F43A1" w:rsidRPr="00340D77" w:rsidRDefault="006F43A1" w:rsidP="00101BD9">
      <w:pPr>
        <w:jc w:val="both"/>
        <w:rPr>
          <w:b/>
        </w:rPr>
      </w:pPr>
      <w:r w:rsidRPr="00340D77">
        <w:rPr>
          <w:b/>
        </w:rPr>
        <w:t>El juez deberá exigir al fiscal que acredite la seriedad de su imputación pues a este le corresponde la carga de la prueba</w:t>
      </w:r>
      <w:r w:rsidRPr="006F43A1">
        <w:t xml:space="preserve">. Esto no implica que la defensa asuma un rol pasivo. Por el contrario, </w:t>
      </w:r>
      <w:r w:rsidRPr="00340D77">
        <w:rPr>
          <w:b/>
        </w:rPr>
        <w:t>con esta modalidad se favorecen los controles horizontales entre ambas partes, de modo que la información que reciba el juez haya sido depurada previamente y se constituya en</w:t>
      </w:r>
      <w:r w:rsidRPr="006F43A1">
        <w:t xml:space="preserve"> </w:t>
      </w:r>
      <w:r w:rsidRPr="00340D77">
        <w:rPr>
          <w:b/>
        </w:rPr>
        <w:lastRenderedPageBreak/>
        <w:t>información de alta calidad para la adopción de una decisión jurisdiccional final</w:t>
      </w:r>
      <w:r w:rsidRPr="006F43A1">
        <w:t xml:space="preserve">. Generalmente, el rol del juez en esta audiencia ha sido muy pasivo y se ha limitado solamente a conferir la palabra a cada interviniente. En un modelo óptimo, </w:t>
      </w:r>
      <w:r w:rsidRPr="00340D77">
        <w:rPr>
          <w:b/>
        </w:rPr>
        <w:t>se espera que el juez asuma una posición proactiva, generando el debate y exigiéndole al fiscal que acredite sus peticiones con los antecedentes de su investigación.</w:t>
      </w:r>
    </w:p>
    <w:p w14:paraId="7E0794FF" w14:textId="3529953D" w:rsidR="00AB1FE5" w:rsidRDefault="006F43A1" w:rsidP="00101BD9">
      <w:pPr>
        <w:jc w:val="both"/>
      </w:pPr>
      <w:r>
        <w:t>En lo que sigue, abordaremos el modo en que esta problemática se encuentra regulada en los sistemas procesales penales comparados, para poner de manifiesto de que se trata de una corriente común en la región. Además, se plantearán los desafíos concretos que supone la cláusula de la “semiplena prueba” en el Uruguay</w:t>
      </w:r>
      <w:r w:rsidR="00BD59C0">
        <w:t>,</w:t>
      </w:r>
      <w:r w:rsidR="000548E4">
        <w:t xml:space="preserve"> junto con posibles alternativas para su efectiva operatividad.</w:t>
      </w:r>
    </w:p>
    <w:p w14:paraId="384E7E93" w14:textId="77777777" w:rsidR="008F3338" w:rsidRDefault="008F3338" w:rsidP="00101BD9">
      <w:pPr>
        <w:jc w:val="both"/>
      </w:pPr>
    </w:p>
    <w:p w14:paraId="03EBE69D" w14:textId="77777777" w:rsidR="00FD6289" w:rsidRPr="00FD6289" w:rsidRDefault="00FD6289" w:rsidP="00FD6289">
      <w:pPr>
        <w:rPr>
          <w:b/>
        </w:rPr>
      </w:pPr>
      <w:r w:rsidRPr="00FD6289">
        <w:rPr>
          <w:b/>
        </w:rPr>
        <w:t xml:space="preserve">2. LA REGULACIÓN EN </w:t>
      </w:r>
      <w:r w:rsidR="00336698">
        <w:rPr>
          <w:b/>
        </w:rPr>
        <w:t>LOS SISTEMAS COMPARADOS</w:t>
      </w:r>
      <w:r w:rsidRPr="00FD6289">
        <w:rPr>
          <w:b/>
        </w:rPr>
        <w:t xml:space="preserve"> </w:t>
      </w:r>
    </w:p>
    <w:p w14:paraId="0BFABEC6" w14:textId="77777777" w:rsidR="00901879" w:rsidRDefault="00901879" w:rsidP="00901879">
      <w:pPr>
        <w:jc w:val="both"/>
      </w:pPr>
      <w:r>
        <w:t xml:space="preserve">Como es sabido, la mayoría de los países de América Latina han transitado hacia sistemas penales de corte acusatorio en los que la titularidad en el ejercicio de la acción penal y la dirección de la investigación contra el imputado le corresponde de forma exclusiva al Ministerio Público. Además, otro de los elementos característicos de los sistemas reformados, ha sido que el procedimiento está basado en la celebración de audiencias orales en las que se producen los debates y decisiones de mayor complejidad e importancia. </w:t>
      </w:r>
    </w:p>
    <w:p w14:paraId="2D756C13" w14:textId="77777777" w:rsidR="00901879" w:rsidRPr="00340D77" w:rsidRDefault="00901879" w:rsidP="00901879">
      <w:pPr>
        <w:jc w:val="both"/>
        <w:rPr>
          <w:b/>
        </w:rPr>
      </w:pPr>
      <w:r>
        <w:t>Ahora bien, este modelo supone una serie de desafíos para los operadores del sistema de justicia, entre los que destacamos la necesidad de contar con destrezas de litigación oral para trabajar en este nuevo paradigma así como la forma en la que tanto fiscales, defensores y jueces se relacionan con la prueba. Para este último desafío</w:t>
      </w:r>
      <w:r w:rsidRPr="00340D77">
        <w:rPr>
          <w:b/>
        </w:rPr>
        <w:t>, es de vital importancia analizar de forma diferenciada en qué etapa procesal nos encontramos para analizar las particularidades a tener en cuenta en el tratamiento de los aspectos probatorios.</w:t>
      </w:r>
    </w:p>
    <w:p w14:paraId="0CBFECF2" w14:textId="77777777" w:rsidR="00901879" w:rsidRDefault="00901879" w:rsidP="00901879">
      <w:pPr>
        <w:jc w:val="both"/>
      </w:pPr>
      <w:r>
        <w:t xml:space="preserve">En este caso concreto, vistas las necesidades del Uruguay de generar un estándar de prueba acorde a las exigencias para solicitar e imponer una medida cautelar privativa de libertad, analizaremos </w:t>
      </w:r>
      <w:r w:rsidRPr="00340D77">
        <w:rPr>
          <w:b/>
        </w:rPr>
        <w:t>cómo los países con sistemas acusatorios han resuelto este tema desde el punto de vista del derecho comparado</w:t>
      </w:r>
      <w:r>
        <w:t xml:space="preserve">. </w:t>
      </w:r>
    </w:p>
    <w:p w14:paraId="39F1C3CD" w14:textId="77777777" w:rsidR="00901879" w:rsidRDefault="00901879" w:rsidP="00901879">
      <w:pPr>
        <w:jc w:val="both"/>
      </w:pPr>
      <w:r>
        <w:t>Para ello, haremos un recorrido por algunos de los códigos más representativos, algunos ya aprobados y con varios años de funcionamiento y otros proyectos de ley que han sido conocidos en la región por su gran calidad en el diseño normativ</w:t>
      </w:r>
      <w:r w:rsidR="00BA378C">
        <w:t>o.</w:t>
      </w:r>
    </w:p>
    <w:p w14:paraId="0AF158AE" w14:textId="77777777" w:rsidR="00BA378C" w:rsidRDefault="00BA378C" w:rsidP="00901879">
      <w:pPr>
        <w:jc w:val="both"/>
      </w:pPr>
    </w:p>
    <w:p w14:paraId="67E3D071" w14:textId="5000112B" w:rsidR="00901879" w:rsidRPr="00F26B23" w:rsidRDefault="00901879" w:rsidP="00901879">
      <w:pPr>
        <w:jc w:val="both"/>
        <w:rPr>
          <w:b/>
          <w:i/>
        </w:rPr>
      </w:pPr>
      <w:r w:rsidRPr="00F26B23">
        <w:rPr>
          <w:b/>
          <w:i/>
        </w:rPr>
        <w:t xml:space="preserve">Código Procesal Penal </w:t>
      </w:r>
      <w:r w:rsidR="00221342">
        <w:rPr>
          <w:b/>
          <w:i/>
        </w:rPr>
        <w:t>de la Nación Argentina</w:t>
      </w:r>
      <w:r w:rsidRPr="00F26B23">
        <w:rPr>
          <w:b/>
          <w:i/>
        </w:rPr>
        <w:t xml:space="preserve"> de 2014</w:t>
      </w:r>
      <w:r w:rsidR="00C0395F">
        <w:rPr>
          <w:rStyle w:val="Refdenotaalpie"/>
          <w:b/>
          <w:i/>
        </w:rPr>
        <w:footnoteReference w:id="6"/>
      </w:r>
      <w:r w:rsidRPr="00F26B23">
        <w:rPr>
          <w:b/>
          <w:i/>
        </w:rPr>
        <w:t>.</w:t>
      </w:r>
    </w:p>
    <w:p w14:paraId="29C078F6" w14:textId="77777777" w:rsidR="00901879" w:rsidRDefault="00901879" w:rsidP="00901879">
      <w:pPr>
        <w:jc w:val="both"/>
      </w:pPr>
      <w:r>
        <w:t xml:space="preserve">En el artículo 190 se menciona que la solicitud de una </w:t>
      </w:r>
      <w:r w:rsidR="002F17A2">
        <w:t xml:space="preserve">medida </w:t>
      </w:r>
      <w:r>
        <w:t xml:space="preserve">de coerción “se formulará y decidirá en audiencia, garantizando los principios de contradicción, inmediación, publicidad y celeridad”. </w:t>
      </w:r>
      <w:r>
        <w:lastRenderedPageBreak/>
        <w:t>En el artícu</w:t>
      </w:r>
      <w:r w:rsidR="00BA378C">
        <w:t xml:space="preserve">lo 187 se establece que para </w:t>
      </w:r>
      <w:r>
        <w:t xml:space="preserve">solicitar la imposición de una o varias medidas de coerción se </w:t>
      </w:r>
      <w:r w:rsidR="00BA378C">
        <w:t>deberán</w:t>
      </w:r>
      <w:r>
        <w:t xml:space="preserve">: </w:t>
      </w:r>
    </w:p>
    <w:p w14:paraId="57ED3D26" w14:textId="77777777" w:rsidR="00901879" w:rsidRDefault="00901879" w:rsidP="00901879">
      <w:pPr>
        <w:jc w:val="both"/>
      </w:pPr>
      <w:r>
        <w:t>“a) Acreditar que existen elementos de convicción suficientes para sostener la probabilidad de la existencia del hecho y la participación del imputado en éste;</w:t>
      </w:r>
    </w:p>
    <w:p w14:paraId="434FB518" w14:textId="77777777" w:rsidR="00901879" w:rsidRDefault="00901879" w:rsidP="00901879">
      <w:pPr>
        <w:jc w:val="both"/>
      </w:pPr>
      <w:r>
        <w:t>b) Justificar suficientemente, con arreglo a las circunstancias del caso y a las personales del imputado, la presunción de que aquél no se someterá al procedimiento u obstaculizará la investigación o la realización de un acto concreto del proceso;”</w:t>
      </w:r>
    </w:p>
    <w:p w14:paraId="63E32ED6" w14:textId="77777777" w:rsidR="00901879" w:rsidRDefault="00901879" w:rsidP="00901879">
      <w:pPr>
        <w:jc w:val="both"/>
      </w:pPr>
      <w:r w:rsidRPr="00975287">
        <w:rPr>
          <w:i/>
        </w:rPr>
        <w:t xml:space="preserve">En cuanto a la forma en la </w:t>
      </w:r>
      <w:r w:rsidR="00BA378C" w:rsidRPr="00975287">
        <w:rPr>
          <w:i/>
        </w:rPr>
        <w:t>cual</w:t>
      </w:r>
      <w:r w:rsidRPr="00975287">
        <w:rPr>
          <w:i/>
        </w:rPr>
        <w:t xml:space="preserve"> se acreditarán los anteriores supuestos, el art. 190 establece “los</w:t>
      </w:r>
      <w:r>
        <w:t xml:space="preserve"> </w:t>
      </w:r>
      <w:r w:rsidRPr="00340D77">
        <w:rPr>
          <w:i/>
        </w:rPr>
        <w:t>elementos probatorios que las partes pudiesen aportar a la audiencia</w:t>
      </w:r>
      <w:r>
        <w:t xml:space="preserve">”. Ese mismo artículo, a la hora de indicar la participación de personas en la audiencia, establece el derecho a ser oído del imputado y el derecho a intervenir por parte del abogado defensor y el querellante. </w:t>
      </w:r>
    </w:p>
    <w:p w14:paraId="1D88AEC5" w14:textId="77777777" w:rsidR="00901879" w:rsidRDefault="00901879" w:rsidP="00901879">
      <w:pPr>
        <w:jc w:val="both"/>
      </w:pPr>
      <w:r>
        <w:t xml:space="preserve">En ese sentido, </w:t>
      </w:r>
      <w:r w:rsidRPr="00340D77">
        <w:rPr>
          <w:i/>
        </w:rPr>
        <w:t xml:space="preserve">no se establece la participación de terceras personas como testigos, policías o peritos, por lo que podemos presumir que cuando el </w:t>
      </w:r>
      <w:r w:rsidR="00BA378C" w:rsidRPr="00340D77">
        <w:rPr>
          <w:i/>
        </w:rPr>
        <w:t xml:space="preserve">art. </w:t>
      </w:r>
      <w:r w:rsidRPr="00340D77">
        <w:rPr>
          <w:i/>
        </w:rPr>
        <w:t>190 se refiere a los elementos probatorios que las partes pudiesen aportar</w:t>
      </w:r>
      <w:r>
        <w:t xml:space="preserve">, </w:t>
      </w:r>
      <w:r w:rsidRPr="00340D77">
        <w:rPr>
          <w:i/>
        </w:rPr>
        <w:t>se está refiriendo al enunciado de dichos elementos probatorios, bajo la modalidad de oralidad argumentativa explicada en el apartado anterior</w:t>
      </w:r>
      <w:r>
        <w:t>.</w:t>
      </w:r>
    </w:p>
    <w:p w14:paraId="1FA58C0B" w14:textId="77777777" w:rsidR="00BA378C" w:rsidRDefault="00BA378C" w:rsidP="00901879">
      <w:pPr>
        <w:jc w:val="both"/>
      </w:pPr>
    </w:p>
    <w:p w14:paraId="2CFA389F" w14:textId="1C71381F" w:rsidR="00901879" w:rsidRDefault="00901879" w:rsidP="00901879">
      <w:pPr>
        <w:jc w:val="both"/>
        <w:rPr>
          <w:b/>
          <w:i/>
        </w:rPr>
      </w:pPr>
      <w:r w:rsidRPr="00B952E9">
        <w:rPr>
          <w:b/>
          <w:i/>
        </w:rPr>
        <w:t>P</w:t>
      </w:r>
      <w:r w:rsidR="00221342">
        <w:rPr>
          <w:b/>
          <w:i/>
        </w:rPr>
        <w:t>royecto de Código del Sistema Penal Boliviano</w:t>
      </w:r>
      <w:r w:rsidR="00BA378C">
        <w:rPr>
          <w:b/>
          <w:i/>
        </w:rPr>
        <w:t xml:space="preserve"> de 2017</w:t>
      </w:r>
      <w:r w:rsidR="00C0395F">
        <w:rPr>
          <w:rStyle w:val="Refdenotaalpie"/>
          <w:b/>
          <w:i/>
        </w:rPr>
        <w:footnoteReference w:id="7"/>
      </w:r>
      <w:r w:rsidRPr="00B952E9">
        <w:rPr>
          <w:b/>
          <w:i/>
        </w:rPr>
        <w:t xml:space="preserve">.  </w:t>
      </w:r>
    </w:p>
    <w:p w14:paraId="165AEF33" w14:textId="77777777" w:rsidR="00901879" w:rsidRDefault="00901879" w:rsidP="00901879">
      <w:pPr>
        <w:jc w:val="both"/>
        <w:rPr>
          <w:rFonts w:ascii="Calibri" w:hAnsi="Calibri" w:cs="Calibri"/>
          <w:color w:val="000000"/>
        </w:rPr>
      </w:pPr>
      <w:r>
        <w:t xml:space="preserve">A la hora de establecer el estándar probatorio para solicitar la detención de un imputado, el Código es claro cuando en su artículo 437 establece que “La o el </w:t>
      </w:r>
      <w:r w:rsidRPr="00B952E9">
        <w:rPr>
          <w:rFonts w:ascii="Calibri" w:hAnsi="Calibri" w:cs="Calibri"/>
          <w:color w:val="000000"/>
        </w:rPr>
        <w:t>fiscal podrá ordenar la detención de la persona imputada únicamente cuando existan suficientes indicios para sostener, fundadamente, que es autor o partícipe de un de una infracción penal sancionada con pena privativa de libertad y, cuyo mínimo legal sea igual o superior a dos años y exista riesgo de que no se someterá al proceso u obstaculizará la investigación.”</w:t>
      </w:r>
    </w:p>
    <w:p w14:paraId="39973D49" w14:textId="77777777" w:rsidR="00901879" w:rsidRDefault="00901879" w:rsidP="00901879">
      <w:pPr>
        <w:jc w:val="both"/>
        <w:rPr>
          <w:rFonts w:ascii="Calibri" w:hAnsi="Calibri" w:cs="Calibri"/>
          <w:color w:val="000000"/>
        </w:rPr>
      </w:pPr>
      <w:r>
        <w:rPr>
          <w:rFonts w:ascii="Calibri" w:hAnsi="Calibri" w:cs="Calibri"/>
          <w:color w:val="000000"/>
        </w:rPr>
        <w:t>Como se puede comprobar</w:t>
      </w:r>
      <w:r w:rsidR="00BA378C">
        <w:rPr>
          <w:rFonts w:ascii="Calibri" w:hAnsi="Calibri" w:cs="Calibri"/>
          <w:color w:val="000000"/>
        </w:rPr>
        <w:t>,</w:t>
      </w:r>
      <w:r>
        <w:rPr>
          <w:rFonts w:ascii="Calibri" w:hAnsi="Calibri" w:cs="Calibri"/>
          <w:color w:val="000000"/>
        </w:rPr>
        <w:t xml:space="preserve"> el código solamente establece la necesidad de que concurran indicios y, nunca menciona la producción de prueba. </w:t>
      </w:r>
    </w:p>
    <w:p w14:paraId="7A16F77A" w14:textId="77777777" w:rsidR="00901879" w:rsidRDefault="00901879" w:rsidP="00901879">
      <w:pPr>
        <w:jc w:val="both"/>
        <w:rPr>
          <w:rFonts w:ascii="Calibri" w:hAnsi="Calibri" w:cs="Calibri"/>
          <w:color w:val="000000"/>
        </w:rPr>
      </w:pPr>
      <w:r>
        <w:rPr>
          <w:rFonts w:ascii="Calibri" w:hAnsi="Calibri" w:cs="Calibri"/>
          <w:color w:val="000000"/>
        </w:rPr>
        <w:t>En cuanto a la prisión preventiva, los requisitos solicitados son:</w:t>
      </w:r>
    </w:p>
    <w:p w14:paraId="5E20FAFB" w14:textId="77777777" w:rsidR="00901879" w:rsidRPr="00B952E9" w:rsidRDefault="00901879" w:rsidP="00901879">
      <w:pPr>
        <w:jc w:val="both"/>
        <w:rPr>
          <w:rFonts w:ascii="Calibri" w:hAnsi="Calibri" w:cs="Calibri"/>
          <w:color w:val="000000"/>
        </w:rPr>
      </w:pPr>
      <w:r w:rsidRPr="00B952E9">
        <w:rPr>
          <w:rFonts w:ascii="Calibri" w:hAnsi="Calibri" w:cs="Calibri"/>
          <w:color w:val="000000"/>
        </w:rPr>
        <w:t>“1. La existencia de elementos de convicción suficientes para sostener que la persona imputada es, con probabilidad, autora o partícipe de una infracción penal;</w:t>
      </w:r>
    </w:p>
    <w:p w14:paraId="32494C2C" w14:textId="77777777" w:rsidR="00901879" w:rsidRDefault="00901879" w:rsidP="00901879">
      <w:pPr>
        <w:pStyle w:val="NormalWeb"/>
        <w:spacing w:before="0" w:beforeAutospacing="0" w:after="160" w:afterAutospacing="0"/>
        <w:jc w:val="both"/>
        <w:rPr>
          <w:rFonts w:ascii="Calibri" w:hAnsi="Calibri" w:cs="Calibri"/>
          <w:color w:val="000000"/>
          <w:sz w:val="22"/>
          <w:szCs w:val="22"/>
        </w:rPr>
      </w:pPr>
      <w:r w:rsidRPr="00B952E9">
        <w:rPr>
          <w:rFonts w:ascii="Calibri" w:hAnsi="Calibri" w:cs="Calibri"/>
          <w:color w:val="000000"/>
          <w:sz w:val="22"/>
          <w:szCs w:val="22"/>
        </w:rPr>
        <w:t>2. La existencia de elementos de convicción suficientes de que la persona imputada no se someterá al proceso u obstaculizará la investigación; “</w:t>
      </w:r>
    </w:p>
    <w:p w14:paraId="40FBF76C" w14:textId="77777777" w:rsidR="00901879" w:rsidRPr="00B952E9" w:rsidRDefault="00901879" w:rsidP="00901879">
      <w:pPr>
        <w:pStyle w:val="NormalWeb"/>
        <w:spacing w:before="0" w:beforeAutospacing="0" w:after="160" w:afterAutospacing="0"/>
        <w:jc w:val="both"/>
        <w:rPr>
          <w:rFonts w:ascii="Calibri" w:hAnsi="Calibri" w:cs="Calibri"/>
          <w:color w:val="000000"/>
          <w:sz w:val="22"/>
        </w:rPr>
      </w:pPr>
      <w:r>
        <w:rPr>
          <w:rFonts w:ascii="Calibri" w:hAnsi="Calibri" w:cs="Calibri"/>
          <w:color w:val="000000"/>
          <w:sz w:val="22"/>
          <w:szCs w:val="22"/>
        </w:rPr>
        <w:t xml:space="preserve">En cuanto a la modalidad de la solicitud de las medidas cautelares, el art. 442 menciona que </w:t>
      </w:r>
      <w:r w:rsidRPr="00B952E9">
        <w:rPr>
          <w:rFonts w:ascii="Calibri" w:hAnsi="Calibri" w:cs="Calibri"/>
          <w:b/>
          <w:bCs/>
          <w:color w:val="000000"/>
          <w:sz w:val="22"/>
          <w:szCs w:val="22"/>
        </w:rPr>
        <w:t>“</w:t>
      </w:r>
      <w:r>
        <w:rPr>
          <w:rFonts w:ascii="Calibri" w:hAnsi="Calibri" w:cs="Calibri"/>
          <w:color w:val="000000"/>
          <w:sz w:val="22"/>
          <w:szCs w:val="22"/>
        </w:rPr>
        <w:t>l</w:t>
      </w:r>
      <w:r w:rsidRPr="00B952E9">
        <w:rPr>
          <w:rFonts w:ascii="Calibri" w:hAnsi="Calibri" w:cs="Calibri"/>
          <w:color w:val="000000"/>
          <w:sz w:val="22"/>
          <w:szCs w:val="22"/>
        </w:rPr>
        <w:t>a solicitud de las medidas cautelares se resolverá en audiencia pública, garantizando los principios de inmediación, contradicción y celeridad</w:t>
      </w:r>
      <w:r>
        <w:rPr>
          <w:rFonts w:ascii="Calibri" w:hAnsi="Calibri" w:cs="Calibri"/>
          <w:color w:val="000000"/>
          <w:sz w:val="22"/>
          <w:szCs w:val="22"/>
        </w:rPr>
        <w:t>”. Para ello</w:t>
      </w:r>
      <w:r w:rsidRPr="00B952E9">
        <w:rPr>
          <w:rFonts w:ascii="Calibri" w:hAnsi="Calibri" w:cs="Calibri"/>
          <w:color w:val="000000"/>
          <w:sz w:val="20"/>
          <w:szCs w:val="22"/>
        </w:rPr>
        <w:t>, “l</w:t>
      </w:r>
      <w:r w:rsidRPr="00B952E9">
        <w:rPr>
          <w:rFonts w:ascii="Calibri" w:hAnsi="Calibri" w:cs="Calibri"/>
          <w:color w:val="000000"/>
          <w:sz w:val="22"/>
        </w:rPr>
        <w:t>a carga de la prueba corresponderá al fiscal o al querellante. La persona imputada tendrá derecho a ser oída y a controvertir los argumentos y las pruebas producidas, pero en ningún caso recaerá sobre éste la obligación de desvirtuar los peligros esgrimidos por el fiscal o el querellante.”</w:t>
      </w:r>
    </w:p>
    <w:p w14:paraId="1D4FAFFF" w14:textId="2D0C883E" w:rsidR="00901879" w:rsidRDefault="00901879" w:rsidP="00901879">
      <w:pPr>
        <w:pStyle w:val="NormalWeb"/>
        <w:spacing w:before="0" w:beforeAutospacing="0" w:after="160" w:afterAutospacing="0"/>
        <w:jc w:val="both"/>
        <w:rPr>
          <w:rFonts w:ascii="Calibri" w:hAnsi="Calibri" w:cs="Calibri"/>
          <w:color w:val="000000"/>
          <w:sz w:val="22"/>
        </w:rPr>
      </w:pPr>
      <w:r w:rsidRPr="00B952E9">
        <w:rPr>
          <w:rFonts w:ascii="Calibri" w:hAnsi="Calibri" w:cs="Calibri"/>
          <w:color w:val="000000"/>
          <w:sz w:val="22"/>
        </w:rPr>
        <w:lastRenderedPageBreak/>
        <w:t>En base al precepto anterior, se constata que, por un lado</w:t>
      </w:r>
      <w:r w:rsidR="00BA378C">
        <w:rPr>
          <w:rFonts w:ascii="Calibri" w:hAnsi="Calibri" w:cs="Calibri"/>
          <w:color w:val="000000"/>
          <w:sz w:val="22"/>
        </w:rPr>
        <w:t>,</w:t>
      </w:r>
      <w:r w:rsidRPr="00B952E9">
        <w:rPr>
          <w:rFonts w:ascii="Calibri" w:hAnsi="Calibri" w:cs="Calibri"/>
          <w:color w:val="000000"/>
          <w:sz w:val="22"/>
        </w:rPr>
        <w:t xml:space="preserve"> se mantiene el derecho de </w:t>
      </w:r>
      <w:r>
        <w:rPr>
          <w:rFonts w:ascii="Calibri" w:hAnsi="Calibri" w:cs="Calibri"/>
          <w:color w:val="000000"/>
          <w:sz w:val="22"/>
        </w:rPr>
        <w:t>la persona a ser oída y a contro</w:t>
      </w:r>
      <w:r w:rsidRPr="00B952E9">
        <w:rPr>
          <w:rFonts w:ascii="Calibri" w:hAnsi="Calibri" w:cs="Calibri"/>
          <w:color w:val="000000"/>
          <w:sz w:val="22"/>
        </w:rPr>
        <w:t>vertir los hechos pero en ningún caso se le solici</w:t>
      </w:r>
      <w:r w:rsidR="00BA378C">
        <w:rPr>
          <w:rFonts w:ascii="Calibri" w:hAnsi="Calibri" w:cs="Calibri"/>
          <w:color w:val="000000"/>
          <w:sz w:val="22"/>
        </w:rPr>
        <w:t>ta a la</w:t>
      </w:r>
      <w:r w:rsidRPr="00B952E9">
        <w:rPr>
          <w:rFonts w:ascii="Calibri" w:hAnsi="Calibri" w:cs="Calibri"/>
          <w:color w:val="000000"/>
          <w:sz w:val="22"/>
        </w:rPr>
        <w:t xml:space="preserve"> parte imputada que </w:t>
      </w:r>
      <w:r>
        <w:rPr>
          <w:rFonts w:ascii="Calibri" w:hAnsi="Calibri" w:cs="Calibri"/>
          <w:color w:val="000000"/>
          <w:sz w:val="22"/>
        </w:rPr>
        <w:t>desvirtúe</w:t>
      </w:r>
      <w:r w:rsidRPr="00B952E9">
        <w:rPr>
          <w:rFonts w:ascii="Calibri" w:hAnsi="Calibri" w:cs="Calibri"/>
          <w:color w:val="000000"/>
          <w:sz w:val="22"/>
        </w:rPr>
        <w:t xml:space="preserve"> los peligros es</w:t>
      </w:r>
      <w:r>
        <w:rPr>
          <w:rFonts w:ascii="Calibri" w:hAnsi="Calibri" w:cs="Calibri"/>
          <w:color w:val="000000"/>
          <w:sz w:val="22"/>
        </w:rPr>
        <w:t>g</w:t>
      </w:r>
      <w:r w:rsidRPr="00B952E9">
        <w:rPr>
          <w:rFonts w:ascii="Calibri" w:hAnsi="Calibri" w:cs="Calibri"/>
          <w:color w:val="000000"/>
          <w:sz w:val="22"/>
        </w:rPr>
        <w:t xml:space="preserve">rimidos por el fiscal o querellante. Esto nos indica que </w:t>
      </w:r>
      <w:r w:rsidRPr="00975287">
        <w:rPr>
          <w:rFonts w:ascii="Calibri" w:hAnsi="Calibri" w:cs="Calibri"/>
          <w:i/>
          <w:color w:val="000000"/>
          <w:sz w:val="22"/>
        </w:rPr>
        <w:t>obviamente no se contempla la producción de prueba ya que, de tratarse así, sería necesario regular con mayor claridad cómo es qué se produciría esto</w:t>
      </w:r>
      <w:r w:rsidRPr="00B952E9">
        <w:rPr>
          <w:rFonts w:ascii="Calibri" w:hAnsi="Calibri" w:cs="Calibri"/>
          <w:color w:val="000000"/>
          <w:sz w:val="22"/>
        </w:rPr>
        <w:t xml:space="preserve">. </w:t>
      </w:r>
    </w:p>
    <w:p w14:paraId="151F813D" w14:textId="77777777" w:rsidR="00BA378C" w:rsidRPr="00B952E9" w:rsidRDefault="00BA378C" w:rsidP="00901879">
      <w:pPr>
        <w:pStyle w:val="NormalWeb"/>
        <w:spacing w:before="0" w:beforeAutospacing="0" w:after="160" w:afterAutospacing="0"/>
        <w:jc w:val="both"/>
        <w:rPr>
          <w:rFonts w:ascii="Calibri" w:hAnsi="Calibri" w:cs="Calibri"/>
          <w:color w:val="000000"/>
          <w:sz w:val="22"/>
        </w:rPr>
      </w:pPr>
    </w:p>
    <w:p w14:paraId="74ADAC17" w14:textId="6FB687F6" w:rsidR="00901879" w:rsidRPr="00E3011A" w:rsidRDefault="00901879" w:rsidP="00901879">
      <w:pPr>
        <w:pStyle w:val="NormalWeb"/>
        <w:spacing w:before="0" w:beforeAutospacing="0" w:after="160" w:afterAutospacing="0"/>
        <w:jc w:val="both"/>
        <w:rPr>
          <w:rFonts w:ascii="Calibri" w:hAnsi="Calibri" w:cs="Calibri"/>
          <w:b/>
          <w:i/>
          <w:color w:val="000000"/>
          <w:sz w:val="22"/>
        </w:rPr>
      </w:pPr>
      <w:r w:rsidRPr="00E3011A">
        <w:rPr>
          <w:rFonts w:ascii="Calibri" w:hAnsi="Calibri" w:cs="Calibri"/>
          <w:b/>
          <w:i/>
          <w:color w:val="000000"/>
          <w:sz w:val="22"/>
        </w:rPr>
        <w:t>Código Procesal Penal de Chile</w:t>
      </w:r>
      <w:r w:rsidR="00C0395F">
        <w:rPr>
          <w:rFonts w:ascii="Calibri" w:hAnsi="Calibri" w:cs="Calibri"/>
          <w:b/>
          <w:i/>
          <w:color w:val="000000"/>
          <w:sz w:val="22"/>
        </w:rPr>
        <w:t xml:space="preserve"> de 2000</w:t>
      </w:r>
      <w:r w:rsidR="00C0395F">
        <w:rPr>
          <w:rStyle w:val="Refdenotaalpie"/>
          <w:rFonts w:ascii="Calibri" w:hAnsi="Calibri" w:cs="Calibri"/>
          <w:b/>
          <w:i/>
          <w:color w:val="000000"/>
          <w:sz w:val="22"/>
        </w:rPr>
        <w:footnoteReference w:id="8"/>
      </w:r>
      <w:r w:rsidRPr="00E3011A">
        <w:rPr>
          <w:rFonts w:ascii="Calibri" w:hAnsi="Calibri" w:cs="Calibri"/>
          <w:b/>
          <w:i/>
          <w:color w:val="000000"/>
          <w:sz w:val="22"/>
        </w:rPr>
        <w:t>.</w:t>
      </w:r>
    </w:p>
    <w:p w14:paraId="45AFF1A1" w14:textId="77777777" w:rsidR="00901879" w:rsidRDefault="00901879" w:rsidP="00901879">
      <w:pPr>
        <w:jc w:val="both"/>
        <w:rPr>
          <w:rFonts w:ascii="Calibri" w:eastAsia="Times New Roman" w:hAnsi="Calibri" w:cs="Calibri"/>
          <w:color w:val="000000"/>
          <w:lang w:eastAsia="es-CL"/>
        </w:rPr>
      </w:pPr>
      <w:r>
        <w:rPr>
          <w:rFonts w:ascii="Calibri" w:eastAsia="Times New Roman" w:hAnsi="Calibri" w:cs="Calibri"/>
          <w:color w:val="000000"/>
          <w:lang w:eastAsia="es-CL"/>
        </w:rPr>
        <w:t>El artículo 140 del Código Procesal Penal chileno establece que el tribunal podrá decretar la prisión preventiva cuando el solicitante acreditare los siguientes requisitos:</w:t>
      </w:r>
    </w:p>
    <w:p w14:paraId="09D59053" w14:textId="77777777" w:rsidR="00901879" w:rsidRPr="00E3011A" w:rsidRDefault="00901879" w:rsidP="00901879">
      <w:pPr>
        <w:jc w:val="both"/>
        <w:rPr>
          <w:rFonts w:ascii="Times New Roman" w:eastAsia="Times New Roman" w:hAnsi="Times New Roman" w:cs="Times New Roman"/>
          <w:sz w:val="24"/>
          <w:szCs w:val="24"/>
          <w:lang w:eastAsia="es-CL"/>
        </w:rPr>
      </w:pPr>
      <w:r w:rsidRPr="00E3011A">
        <w:rPr>
          <w:rFonts w:ascii="Calibri" w:eastAsia="Times New Roman" w:hAnsi="Calibri" w:cs="Calibri"/>
          <w:color w:val="000000"/>
          <w:lang w:eastAsia="es-CL"/>
        </w:rPr>
        <w:t xml:space="preserve">“a) Que existen antecedentes que justificaren la existencia del delito que se investigare; </w:t>
      </w:r>
    </w:p>
    <w:p w14:paraId="610E63AB" w14:textId="77777777" w:rsidR="00901879" w:rsidRPr="00E3011A" w:rsidRDefault="00901879" w:rsidP="00901879">
      <w:pPr>
        <w:spacing w:line="240" w:lineRule="auto"/>
        <w:jc w:val="both"/>
        <w:rPr>
          <w:rFonts w:ascii="Times New Roman" w:eastAsia="Times New Roman" w:hAnsi="Times New Roman" w:cs="Times New Roman"/>
          <w:sz w:val="24"/>
          <w:szCs w:val="24"/>
          <w:lang w:eastAsia="es-CL"/>
        </w:rPr>
      </w:pPr>
      <w:r w:rsidRPr="00E3011A">
        <w:rPr>
          <w:rFonts w:ascii="Calibri" w:eastAsia="Times New Roman" w:hAnsi="Calibri" w:cs="Calibri"/>
          <w:color w:val="000000"/>
          <w:lang w:eastAsia="es-CL"/>
        </w:rPr>
        <w:t>b) Que existen antecedentes que permitieren presumir fundadamente que el imputado ha tenido participación en el delito como autor, cómplice o encubridor, y</w:t>
      </w:r>
    </w:p>
    <w:p w14:paraId="001274B6" w14:textId="77777777" w:rsidR="00901879" w:rsidRPr="00E3011A" w:rsidRDefault="00901879" w:rsidP="00901879">
      <w:pPr>
        <w:jc w:val="both"/>
        <w:rPr>
          <w:rFonts w:ascii="Calibri" w:eastAsia="Times New Roman" w:hAnsi="Calibri" w:cs="Calibri"/>
          <w:color w:val="000000"/>
          <w:lang w:eastAsia="es-CL"/>
        </w:rPr>
      </w:pPr>
      <w:r w:rsidRPr="00E3011A">
        <w:rPr>
          <w:rFonts w:ascii="Calibri" w:eastAsia="Times New Roman" w:hAnsi="Calibri" w:cs="Calibri"/>
          <w:color w:val="000000"/>
          <w:lang w:eastAsia="es-CL"/>
        </w:rPr>
        <w:t>c) Que existen antecedentes calificados que permitieren al tribunal considerar que la prisión preventiva es indispensable para el éxito de diligencias precisas y determinadas de la investigación, o que la libertad del imputado es peligrosa para la seguridad de la sociedad o del ofendido, o que existe peligro de que el imputado se dé a la fuga, conforme a las disposiciones de los incisos siguientes.</w:t>
      </w:r>
      <w:r>
        <w:rPr>
          <w:rFonts w:ascii="Calibri" w:eastAsia="Times New Roman" w:hAnsi="Calibri" w:cs="Calibri"/>
          <w:color w:val="000000"/>
          <w:lang w:eastAsia="es-CL"/>
        </w:rPr>
        <w:t>”</w:t>
      </w:r>
    </w:p>
    <w:p w14:paraId="5F141892" w14:textId="77777777" w:rsidR="00901879" w:rsidRDefault="00901879" w:rsidP="00901879">
      <w:pPr>
        <w:jc w:val="both"/>
        <w:rPr>
          <w:rFonts w:ascii="Times New Roman" w:eastAsia="Times New Roman" w:hAnsi="Times New Roman" w:cs="Times New Roman"/>
          <w:sz w:val="24"/>
          <w:szCs w:val="24"/>
          <w:lang w:eastAsia="es-CL"/>
        </w:rPr>
      </w:pPr>
      <w:r>
        <w:rPr>
          <w:rFonts w:ascii="Calibri" w:eastAsia="Times New Roman" w:hAnsi="Calibri" w:cs="Calibri"/>
          <w:color w:val="000000"/>
          <w:lang w:eastAsia="es-CL"/>
        </w:rPr>
        <w:t xml:space="preserve">Para ello, el art. 142 menciona que </w:t>
      </w:r>
      <w:r w:rsidRPr="00E3011A">
        <w:rPr>
          <w:rFonts w:ascii="Calibri" w:eastAsia="Times New Roman" w:hAnsi="Calibri" w:cs="Calibri"/>
          <w:bCs/>
          <w:color w:val="000000"/>
          <w:lang w:eastAsia="es-CL"/>
        </w:rPr>
        <w:t>“l</w:t>
      </w:r>
      <w:r w:rsidRPr="00E3011A">
        <w:rPr>
          <w:rFonts w:ascii="Calibri" w:eastAsia="Times New Roman" w:hAnsi="Calibri" w:cs="Calibri"/>
          <w:color w:val="000000"/>
          <w:lang w:eastAsia="es-CL"/>
        </w:rPr>
        <w:t>a solicitud de prisión preventiva podrá plantearse verbalmente en la audiencia de formalización de la investigación, en la audiencia de preparación del juicio oral o en la audiencia del juicio oral</w:t>
      </w:r>
      <w:r>
        <w:rPr>
          <w:rFonts w:ascii="Calibri" w:eastAsia="Times New Roman" w:hAnsi="Calibri" w:cs="Calibri"/>
          <w:color w:val="000000"/>
          <w:lang w:eastAsia="es-CL"/>
        </w:rPr>
        <w:t>.”</w:t>
      </w:r>
    </w:p>
    <w:p w14:paraId="20FF8A8F" w14:textId="77777777" w:rsidR="00901879" w:rsidRPr="00E3011A" w:rsidRDefault="00901879" w:rsidP="00901879">
      <w:pPr>
        <w:jc w:val="both"/>
        <w:rPr>
          <w:rFonts w:eastAsia="Times New Roman" w:cstheme="minorHAnsi"/>
          <w:lang w:eastAsia="es-CL"/>
        </w:rPr>
      </w:pPr>
      <w:r w:rsidRPr="00E3011A">
        <w:rPr>
          <w:rFonts w:eastAsia="Times New Roman" w:cstheme="minorHAnsi"/>
          <w:lang w:eastAsia="es-CL"/>
        </w:rPr>
        <w:t>El mismo artículo menciona que una vez expuestos los fundamentos de quien formuló la solicitud, el tribunal oirá “</w:t>
      </w:r>
      <w:r w:rsidRPr="00E3011A">
        <w:rPr>
          <w:rFonts w:eastAsia="Times New Roman" w:cstheme="minorHAnsi"/>
          <w:color w:val="000000"/>
          <w:lang w:eastAsia="es-CL"/>
        </w:rPr>
        <w:t>en todo caso al defensor, a los demás intervinientes si estuvieren presentes y quisieren hacer uso de la palabra y al imputado.”</w:t>
      </w:r>
    </w:p>
    <w:p w14:paraId="0673582F" w14:textId="77777777" w:rsidR="00901879" w:rsidRDefault="00901879" w:rsidP="00901879">
      <w:pPr>
        <w:jc w:val="both"/>
        <w:rPr>
          <w:rFonts w:ascii="Calibri" w:eastAsia="Times New Roman" w:hAnsi="Calibri" w:cs="Calibri"/>
          <w:color w:val="000000"/>
          <w:lang w:eastAsia="es-CL"/>
        </w:rPr>
      </w:pPr>
      <w:r>
        <w:rPr>
          <w:rFonts w:ascii="Calibri" w:eastAsia="Times New Roman" w:hAnsi="Calibri" w:cs="Calibri"/>
          <w:color w:val="000000"/>
          <w:lang w:eastAsia="es-CL"/>
        </w:rPr>
        <w:t xml:space="preserve">De la legislación chilena podemos extraer </w:t>
      </w:r>
      <w:r w:rsidRPr="00975287">
        <w:rPr>
          <w:rFonts w:ascii="Calibri" w:eastAsia="Times New Roman" w:hAnsi="Calibri" w:cs="Calibri"/>
          <w:b/>
          <w:color w:val="000000"/>
          <w:lang w:eastAsia="es-CL"/>
        </w:rPr>
        <w:t>dos conclusiones relevantes</w:t>
      </w:r>
      <w:r>
        <w:rPr>
          <w:rFonts w:ascii="Calibri" w:eastAsia="Times New Roman" w:hAnsi="Calibri" w:cs="Calibri"/>
          <w:color w:val="000000"/>
          <w:lang w:eastAsia="es-CL"/>
        </w:rPr>
        <w:t xml:space="preserve">. En primer lugar, que </w:t>
      </w:r>
      <w:r w:rsidRPr="00975287">
        <w:rPr>
          <w:rFonts w:ascii="Calibri" w:eastAsia="Times New Roman" w:hAnsi="Calibri" w:cs="Calibri"/>
          <w:i/>
          <w:color w:val="000000"/>
          <w:lang w:eastAsia="es-CL"/>
        </w:rPr>
        <w:t>a la hora de acreditar los requisitos solamente se requiere la existencia de antecedentes, algo que se contrapone totalmente a la exigencia de prueba de hechos</w:t>
      </w:r>
      <w:r>
        <w:rPr>
          <w:rFonts w:ascii="Calibri" w:eastAsia="Times New Roman" w:hAnsi="Calibri" w:cs="Calibri"/>
          <w:color w:val="000000"/>
          <w:lang w:eastAsia="es-CL"/>
        </w:rPr>
        <w:t xml:space="preserve">. En segundo lugar, </w:t>
      </w:r>
      <w:r w:rsidRPr="00975287">
        <w:rPr>
          <w:rFonts w:ascii="Calibri" w:eastAsia="Times New Roman" w:hAnsi="Calibri" w:cs="Calibri"/>
          <w:i/>
          <w:color w:val="000000"/>
          <w:lang w:eastAsia="es-CL"/>
        </w:rPr>
        <w:t>solamente se permite la participación en la audiencia a intervinientes en el proceso, lo que en la realidad chilena supone la intervención del imputado, la víctima, el fiscal, la defensa y el querellante. De esta forma, no se contempla la participación de testigos, peritos o funcionarios policiales</w:t>
      </w:r>
      <w:r>
        <w:rPr>
          <w:rFonts w:ascii="Calibri" w:eastAsia="Times New Roman" w:hAnsi="Calibri" w:cs="Calibri"/>
          <w:color w:val="000000"/>
          <w:lang w:eastAsia="es-CL"/>
        </w:rPr>
        <w:t xml:space="preserve">, algo que también ha sido contrastado en una reciente </w:t>
      </w:r>
      <w:r w:rsidR="00071034">
        <w:rPr>
          <w:rFonts w:ascii="Calibri" w:eastAsia="Times New Roman" w:hAnsi="Calibri" w:cs="Calibri"/>
          <w:color w:val="000000"/>
          <w:lang w:eastAsia="es-CL"/>
        </w:rPr>
        <w:t>e</w:t>
      </w:r>
      <w:r>
        <w:rPr>
          <w:rFonts w:ascii="Calibri" w:eastAsia="Times New Roman" w:hAnsi="Calibri" w:cs="Calibri"/>
          <w:color w:val="000000"/>
          <w:lang w:eastAsia="es-CL"/>
        </w:rPr>
        <w:t xml:space="preserve">valuación sobre el funcionamiento de la reforma procesal penal a 10 años de su implementación en todo el país elaborada por CEJA. </w:t>
      </w:r>
    </w:p>
    <w:p w14:paraId="120ABA73" w14:textId="77777777" w:rsidR="00BA378C" w:rsidRDefault="00BA378C" w:rsidP="00901879">
      <w:pPr>
        <w:jc w:val="both"/>
        <w:rPr>
          <w:rFonts w:ascii="Calibri" w:eastAsia="Times New Roman" w:hAnsi="Calibri" w:cs="Calibri"/>
          <w:color w:val="000000"/>
          <w:lang w:eastAsia="es-CL"/>
        </w:rPr>
      </w:pPr>
    </w:p>
    <w:p w14:paraId="409F8A2B" w14:textId="36308C38" w:rsidR="00901879" w:rsidRPr="00C70064" w:rsidRDefault="00901879" w:rsidP="00901879">
      <w:pPr>
        <w:jc w:val="both"/>
        <w:rPr>
          <w:rFonts w:ascii="Calibri" w:eastAsia="Times New Roman" w:hAnsi="Calibri" w:cs="Calibri"/>
          <w:b/>
          <w:i/>
          <w:color w:val="000000"/>
          <w:lang w:eastAsia="es-CL"/>
        </w:rPr>
      </w:pPr>
      <w:r w:rsidRPr="00C70064">
        <w:rPr>
          <w:rFonts w:ascii="Calibri" w:eastAsia="Times New Roman" w:hAnsi="Calibri" w:cs="Calibri"/>
          <w:b/>
          <w:i/>
          <w:color w:val="000000"/>
          <w:lang w:eastAsia="es-CL"/>
        </w:rPr>
        <w:t xml:space="preserve">Código </w:t>
      </w:r>
      <w:r w:rsidR="00EF219B">
        <w:rPr>
          <w:rFonts w:ascii="Calibri" w:eastAsia="Times New Roman" w:hAnsi="Calibri" w:cs="Calibri"/>
          <w:b/>
          <w:i/>
          <w:color w:val="000000"/>
          <w:lang w:eastAsia="es-CL"/>
        </w:rPr>
        <w:t>de Procedimiento</w:t>
      </w:r>
      <w:r w:rsidRPr="00C70064">
        <w:rPr>
          <w:rFonts w:ascii="Calibri" w:eastAsia="Times New Roman" w:hAnsi="Calibri" w:cs="Calibri"/>
          <w:b/>
          <w:i/>
          <w:color w:val="000000"/>
          <w:lang w:eastAsia="es-CL"/>
        </w:rPr>
        <w:t xml:space="preserve"> Penal de Colombia</w:t>
      </w:r>
      <w:r w:rsidR="00EF219B">
        <w:rPr>
          <w:rFonts w:ascii="Calibri" w:eastAsia="Times New Roman" w:hAnsi="Calibri" w:cs="Calibri"/>
          <w:b/>
          <w:i/>
          <w:color w:val="000000"/>
          <w:lang w:eastAsia="es-CL"/>
        </w:rPr>
        <w:t xml:space="preserve"> de 2004</w:t>
      </w:r>
      <w:r w:rsidR="00EF219B">
        <w:rPr>
          <w:rStyle w:val="Refdenotaalpie"/>
          <w:rFonts w:ascii="Calibri" w:eastAsia="Times New Roman" w:hAnsi="Calibri" w:cs="Calibri"/>
          <w:b/>
          <w:i/>
          <w:color w:val="000000"/>
          <w:lang w:eastAsia="es-CL"/>
        </w:rPr>
        <w:footnoteReference w:id="9"/>
      </w:r>
    </w:p>
    <w:p w14:paraId="43847CE5" w14:textId="77777777" w:rsidR="00901879" w:rsidRDefault="00901879" w:rsidP="00901879">
      <w:pPr>
        <w:jc w:val="both"/>
        <w:rPr>
          <w:rFonts w:ascii="Calibri" w:hAnsi="Calibri" w:cs="Calibri"/>
          <w:color w:val="000000"/>
        </w:rPr>
      </w:pPr>
      <w:r>
        <w:rPr>
          <w:rFonts w:ascii="Calibri" w:eastAsia="Times New Roman" w:hAnsi="Calibri" w:cs="Calibri"/>
          <w:color w:val="000000"/>
          <w:lang w:eastAsia="es-CL"/>
        </w:rPr>
        <w:lastRenderedPageBreak/>
        <w:t xml:space="preserve">El estándar probatorio necesario para solicitar alguna medida cautelar en Colombia se detalla en el art. 287 de la normativa procesal penal que menciona que </w:t>
      </w:r>
      <w:r w:rsidRPr="00C70064">
        <w:rPr>
          <w:rFonts w:ascii="Calibri" w:eastAsia="Times New Roman" w:hAnsi="Calibri" w:cs="Calibri"/>
          <w:color w:val="000000"/>
          <w:lang w:eastAsia="es-CL"/>
        </w:rPr>
        <w:t>“</w:t>
      </w:r>
      <w:r w:rsidRPr="00C70064">
        <w:rPr>
          <w:rFonts w:ascii="Calibri" w:hAnsi="Calibri" w:cs="Calibri"/>
          <w:color w:val="000000"/>
        </w:rPr>
        <w:t>El fiscal hará la imputación fáctica cuando de los elementos materiales probatorios, evidencia física o de la información legalmente obtenida, se pueda inferir razonablemente que el imputado es autor o partícipe del delito que se investiga. De ser procedente, en los términos de este código, el fiscal podrá solicitar ante el juez de control de garantías la imposición de la medida de aseguramiento que corresponda”</w:t>
      </w:r>
      <w:r w:rsidR="00071034">
        <w:rPr>
          <w:rFonts w:ascii="Calibri" w:hAnsi="Calibri" w:cs="Calibri"/>
          <w:color w:val="000000"/>
        </w:rPr>
        <w:t>.</w:t>
      </w:r>
    </w:p>
    <w:p w14:paraId="4CB83EE6" w14:textId="77777777" w:rsidR="00901879" w:rsidRPr="00975287" w:rsidRDefault="00901879" w:rsidP="00901879">
      <w:pPr>
        <w:jc w:val="both"/>
        <w:rPr>
          <w:i/>
        </w:rPr>
      </w:pPr>
      <w:r>
        <w:rPr>
          <w:rFonts w:ascii="Calibri" w:hAnsi="Calibri" w:cs="Calibri"/>
          <w:color w:val="000000"/>
        </w:rPr>
        <w:t xml:space="preserve">Por otro lado, en relación a la solicitud de </w:t>
      </w:r>
      <w:r w:rsidRPr="00975287">
        <w:rPr>
          <w:rFonts w:ascii="Calibri" w:hAnsi="Calibri" w:cs="Calibri"/>
          <w:i/>
          <w:color w:val="000000"/>
        </w:rPr>
        <w:t>prisión preventiva</w:t>
      </w:r>
      <w:r>
        <w:rPr>
          <w:rFonts w:ascii="Calibri" w:hAnsi="Calibri" w:cs="Calibri"/>
          <w:color w:val="000000"/>
        </w:rPr>
        <w:t xml:space="preserve"> (o medida de aseguramiento en la normativa colombiana) se menciona en </w:t>
      </w:r>
      <w:r w:rsidRPr="00975287">
        <w:rPr>
          <w:rFonts w:ascii="Calibri" w:hAnsi="Calibri" w:cs="Calibri"/>
          <w:i/>
          <w:color w:val="000000"/>
        </w:rPr>
        <w:t>el art. 306 que el fiscal debe indicar “la persona, el delito, los elementos de conocimiento necesarios para sustentar la medida y su urgencia</w:t>
      </w:r>
      <w:r>
        <w:rPr>
          <w:rFonts w:ascii="Calibri" w:hAnsi="Calibri" w:cs="Calibri"/>
          <w:color w:val="000000"/>
        </w:rPr>
        <w:t xml:space="preserve">”. Además, a continuación se menciona que </w:t>
      </w:r>
      <w:r w:rsidRPr="00975287">
        <w:rPr>
          <w:rFonts w:ascii="Calibri" w:hAnsi="Calibri" w:cs="Calibri"/>
          <w:i/>
          <w:color w:val="000000"/>
        </w:rPr>
        <w:t>esto se hará a través de "los argumentos del fiscal, Ministerio Público y defensa”</w:t>
      </w:r>
      <w:r w:rsidR="00071034" w:rsidRPr="00975287">
        <w:rPr>
          <w:rFonts w:ascii="Calibri" w:hAnsi="Calibri" w:cs="Calibri"/>
          <w:i/>
          <w:color w:val="000000"/>
        </w:rPr>
        <w:t>.</w:t>
      </w:r>
    </w:p>
    <w:p w14:paraId="5351D1FF" w14:textId="77777777" w:rsidR="00901879" w:rsidRDefault="00901879" w:rsidP="00901879">
      <w:pPr>
        <w:spacing w:line="240" w:lineRule="auto"/>
        <w:jc w:val="both"/>
        <w:rPr>
          <w:rFonts w:ascii="Calibri" w:eastAsia="Times New Roman" w:hAnsi="Calibri" w:cs="Calibri"/>
          <w:bCs/>
          <w:color w:val="000000"/>
          <w:lang w:eastAsia="es-CL"/>
        </w:rPr>
      </w:pPr>
      <w:r w:rsidRPr="00ED001E">
        <w:rPr>
          <w:rFonts w:ascii="Calibri" w:eastAsia="Times New Roman" w:hAnsi="Calibri" w:cs="Calibri"/>
          <w:bCs/>
          <w:color w:val="000000"/>
          <w:lang w:eastAsia="es-CL"/>
        </w:rPr>
        <w:t>El artículo 308 establece que se decreta</w:t>
      </w:r>
      <w:r>
        <w:rPr>
          <w:rFonts w:ascii="Calibri" w:eastAsia="Times New Roman" w:hAnsi="Calibri" w:cs="Calibri"/>
          <w:bCs/>
          <w:color w:val="000000"/>
          <w:lang w:eastAsia="es-CL"/>
        </w:rPr>
        <w:t>rá</w:t>
      </w:r>
      <w:r w:rsidRPr="00ED001E">
        <w:rPr>
          <w:rFonts w:ascii="Calibri" w:eastAsia="Times New Roman" w:hAnsi="Calibri" w:cs="Calibri"/>
          <w:bCs/>
          <w:color w:val="000000"/>
          <w:lang w:eastAsia="es-CL"/>
        </w:rPr>
        <w:t xml:space="preserve"> la medida de aseguramiento</w:t>
      </w:r>
      <w:r>
        <w:rPr>
          <w:rFonts w:ascii="Calibri" w:eastAsia="Times New Roman" w:hAnsi="Calibri" w:cs="Calibri"/>
          <w:bCs/>
          <w:color w:val="000000"/>
          <w:lang w:eastAsia="es-CL"/>
        </w:rPr>
        <w:t xml:space="preserve"> cuando “</w:t>
      </w:r>
      <w:r w:rsidRPr="00ED001E">
        <w:rPr>
          <w:rFonts w:ascii="Calibri" w:eastAsia="Times New Roman" w:hAnsi="Calibri" w:cs="Calibri"/>
          <w:bCs/>
          <w:color w:val="000000"/>
          <w:lang w:eastAsia="es-CL"/>
        </w:rPr>
        <w:t xml:space="preserve">se pueda inferir razonablemente que el imputado puede ser </w:t>
      </w:r>
      <w:r>
        <w:rPr>
          <w:rFonts w:ascii="Calibri" w:eastAsia="Times New Roman" w:hAnsi="Calibri" w:cs="Calibri"/>
          <w:bCs/>
          <w:color w:val="000000"/>
          <w:lang w:eastAsia="es-CL"/>
        </w:rPr>
        <w:t xml:space="preserve">autor o participe de la conducta delictiva que se investiga, siempre y cuando se cumpla alguno de los siguientes requisitos: </w:t>
      </w:r>
    </w:p>
    <w:p w14:paraId="04F218AE" w14:textId="77777777" w:rsidR="00901879" w:rsidRPr="00FB68C7" w:rsidRDefault="00901879" w:rsidP="00901879">
      <w:pPr>
        <w:spacing w:line="240" w:lineRule="auto"/>
        <w:jc w:val="both"/>
        <w:rPr>
          <w:rFonts w:ascii="Times New Roman" w:eastAsia="Times New Roman" w:hAnsi="Times New Roman" w:cs="Times New Roman"/>
          <w:sz w:val="24"/>
          <w:szCs w:val="24"/>
          <w:lang w:eastAsia="es-CL"/>
        </w:rPr>
      </w:pPr>
      <w:r w:rsidRPr="00FB68C7">
        <w:rPr>
          <w:rFonts w:ascii="Calibri" w:eastAsia="Times New Roman" w:hAnsi="Calibri" w:cs="Calibri"/>
          <w:color w:val="000000"/>
          <w:lang w:eastAsia="es-CL"/>
        </w:rPr>
        <w:t>1. Que la medida de aseguramiento se muestre como necesaria para evitar que el imputado obstruya el debido ejercicio de la justicia.</w:t>
      </w:r>
    </w:p>
    <w:p w14:paraId="56A9740C" w14:textId="77777777" w:rsidR="00901879" w:rsidRPr="00FB68C7" w:rsidRDefault="00901879" w:rsidP="00901879">
      <w:pPr>
        <w:spacing w:line="240" w:lineRule="auto"/>
        <w:jc w:val="both"/>
        <w:rPr>
          <w:rFonts w:ascii="Times New Roman" w:eastAsia="Times New Roman" w:hAnsi="Times New Roman" w:cs="Times New Roman"/>
          <w:sz w:val="24"/>
          <w:szCs w:val="24"/>
          <w:lang w:eastAsia="es-CL"/>
        </w:rPr>
      </w:pPr>
      <w:r w:rsidRPr="00FB68C7">
        <w:rPr>
          <w:rFonts w:ascii="Calibri" w:eastAsia="Times New Roman" w:hAnsi="Calibri" w:cs="Calibri"/>
          <w:color w:val="000000"/>
          <w:lang w:eastAsia="es-CL"/>
        </w:rPr>
        <w:t>2. Que el imputado constituye un peligro para la seguridad de la sociedad o de la víctima.</w:t>
      </w:r>
    </w:p>
    <w:p w14:paraId="3DD5C9F9" w14:textId="77777777" w:rsidR="00901879" w:rsidRDefault="00901879" w:rsidP="00901879">
      <w:pPr>
        <w:jc w:val="both"/>
        <w:rPr>
          <w:rFonts w:ascii="Calibri" w:eastAsia="Times New Roman" w:hAnsi="Calibri" w:cs="Calibri"/>
          <w:color w:val="000000"/>
          <w:lang w:eastAsia="es-CL"/>
        </w:rPr>
      </w:pPr>
      <w:r w:rsidRPr="00FB68C7">
        <w:rPr>
          <w:rFonts w:ascii="Calibri" w:eastAsia="Times New Roman" w:hAnsi="Calibri" w:cs="Calibri"/>
          <w:color w:val="000000"/>
          <w:lang w:eastAsia="es-CL"/>
        </w:rPr>
        <w:t>3. Que resulte probable que el imputado no comparecerá al proceso o que no cumplirá la sentencia.</w:t>
      </w:r>
      <w:r>
        <w:rPr>
          <w:rFonts w:ascii="Calibri" w:eastAsia="Times New Roman" w:hAnsi="Calibri" w:cs="Calibri"/>
          <w:color w:val="000000"/>
          <w:lang w:eastAsia="es-CL"/>
        </w:rPr>
        <w:t>”</w:t>
      </w:r>
    </w:p>
    <w:p w14:paraId="4DB23896" w14:textId="77777777" w:rsidR="00901879" w:rsidRDefault="00901879" w:rsidP="00901879">
      <w:pPr>
        <w:jc w:val="both"/>
        <w:rPr>
          <w:rFonts w:ascii="Calibri" w:eastAsia="Times New Roman" w:hAnsi="Calibri" w:cs="Calibri"/>
          <w:bCs/>
          <w:color w:val="000000"/>
          <w:lang w:eastAsia="es-CL"/>
        </w:rPr>
      </w:pPr>
      <w:r w:rsidRPr="00ED001E">
        <w:rPr>
          <w:rFonts w:ascii="Calibri" w:eastAsia="Times New Roman" w:hAnsi="Calibri" w:cs="Calibri"/>
          <w:bCs/>
          <w:color w:val="000000"/>
          <w:lang w:eastAsia="es-CL"/>
        </w:rPr>
        <w:t xml:space="preserve">En el caso colombiano </w:t>
      </w:r>
      <w:r w:rsidRPr="00975287">
        <w:rPr>
          <w:rFonts w:ascii="Calibri" w:eastAsia="Times New Roman" w:hAnsi="Calibri" w:cs="Calibri"/>
          <w:bCs/>
          <w:i/>
          <w:color w:val="000000"/>
          <w:lang w:eastAsia="es-CL"/>
        </w:rPr>
        <w:t>parece clara la</w:t>
      </w:r>
      <w:r w:rsidRPr="00ED001E">
        <w:rPr>
          <w:rFonts w:ascii="Calibri" w:eastAsia="Times New Roman" w:hAnsi="Calibri" w:cs="Calibri"/>
          <w:bCs/>
          <w:color w:val="000000"/>
          <w:lang w:eastAsia="es-CL"/>
        </w:rPr>
        <w:t xml:space="preserve"> </w:t>
      </w:r>
      <w:r w:rsidRPr="00975287">
        <w:rPr>
          <w:rFonts w:ascii="Calibri" w:eastAsia="Times New Roman" w:hAnsi="Calibri" w:cs="Calibri"/>
          <w:bCs/>
          <w:i/>
          <w:color w:val="000000"/>
          <w:lang w:eastAsia="es-CL"/>
        </w:rPr>
        <w:t>existencia de un estándar de trabajo basado en la oralidad argumentativa</w:t>
      </w:r>
      <w:r w:rsidRPr="00ED001E">
        <w:rPr>
          <w:rFonts w:ascii="Calibri" w:eastAsia="Times New Roman" w:hAnsi="Calibri" w:cs="Calibri"/>
          <w:bCs/>
          <w:color w:val="000000"/>
          <w:lang w:eastAsia="es-CL"/>
        </w:rPr>
        <w:t xml:space="preserve"> según el cual el fiscal, en base a los elementos probatorios disponibles, debe argumentar los supuestos correspondientes a la imp</w:t>
      </w:r>
      <w:r w:rsidR="00071034">
        <w:rPr>
          <w:rFonts w:ascii="Calibri" w:eastAsia="Times New Roman" w:hAnsi="Calibri" w:cs="Calibri"/>
          <w:bCs/>
          <w:color w:val="000000"/>
          <w:lang w:eastAsia="es-CL"/>
        </w:rPr>
        <w:t xml:space="preserve">osición de la medida cautelar. </w:t>
      </w:r>
    </w:p>
    <w:p w14:paraId="4931B83F" w14:textId="77777777" w:rsidR="00071034" w:rsidRPr="00ED001E" w:rsidRDefault="00071034" w:rsidP="00901879">
      <w:pPr>
        <w:jc w:val="both"/>
        <w:rPr>
          <w:rFonts w:ascii="Calibri" w:eastAsia="Times New Roman" w:hAnsi="Calibri" w:cs="Calibri"/>
          <w:color w:val="000000"/>
          <w:lang w:eastAsia="es-CL"/>
        </w:rPr>
      </w:pPr>
    </w:p>
    <w:p w14:paraId="137615FE" w14:textId="6685AF8F" w:rsidR="00901879" w:rsidRPr="003309AA" w:rsidRDefault="00901879" w:rsidP="00901879">
      <w:pPr>
        <w:jc w:val="both"/>
        <w:rPr>
          <w:rFonts w:ascii="Calibri" w:eastAsia="Times New Roman" w:hAnsi="Calibri" w:cs="Calibri"/>
          <w:b/>
          <w:i/>
          <w:color w:val="000000"/>
          <w:lang w:eastAsia="es-CL"/>
        </w:rPr>
      </w:pPr>
      <w:r w:rsidRPr="003309AA">
        <w:rPr>
          <w:rFonts w:ascii="Calibri" w:eastAsia="Times New Roman" w:hAnsi="Calibri" w:cs="Calibri"/>
          <w:b/>
          <w:i/>
          <w:color w:val="000000"/>
          <w:lang w:eastAsia="es-CL"/>
        </w:rPr>
        <w:t>Código Procesal Penal de El Salvador</w:t>
      </w:r>
      <w:r w:rsidR="00221342">
        <w:rPr>
          <w:rFonts w:ascii="Calibri" w:eastAsia="Times New Roman" w:hAnsi="Calibri" w:cs="Calibri"/>
          <w:b/>
          <w:i/>
          <w:color w:val="000000"/>
          <w:lang w:eastAsia="es-CL"/>
        </w:rPr>
        <w:t xml:space="preserve"> de 2008</w:t>
      </w:r>
      <w:r w:rsidR="00D36D62">
        <w:rPr>
          <w:rStyle w:val="Refdenotaalpie"/>
          <w:rFonts w:ascii="Calibri" w:eastAsia="Times New Roman" w:hAnsi="Calibri" w:cs="Calibri"/>
          <w:b/>
          <w:i/>
          <w:color w:val="000000"/>
          <w:lang w:eastAsia="es-CL"/>
        </w:rPr>
        <w:footnoteReference w:id="10"/>
      </w:r>
    </w:p>
    <w:p w14:paraId="3436613B" w14:textId="77777777" w:rsidR="00901879" w:rsidRPr="00ED001E" w:rsidRDefault="00901879" w:rsidP="00901879">
      <w:pPr>
        <w:spacing w:line="240" w:lineRule="auto"/>
        <w:jc w:val="both"/>
        <w:rPr>
          <w:rFonts w:ascii="Times New Roman" w:eastAsia="Times New Roman" w:hAnsi="Times New Roman" w:cs="Times New Roman"/>
          <w:sz w:val="24"/>
          <w:szCs w:val="24"/>
          <w:lang w:eastAsia="es-CL"/>
        </w:rPr>
      </w:pPr>
      <w:r>
        <w:rPr>
          <w:rFonts w:ascii="Calibri" w:eastAsia="Times New Roman" w:hAnsi="Calibri" w:cs="Calibri"/>
          <w:color w:val="000000"/>
          <w:lang w:eastAsia="es-CL"/>
        </w:rPr>
        <w:t xml:space="preserve">En el artículo 329 se regula que </w:t>
      </w:r>
      <w:r w:rsidRPr="00ED001E">
        <w:rPr>
          <w:rFonts w:ascii="Calibri" w:eastAsia="Times New Roman" w:hAnsi="Calibri" w:cs="Calibri"/>
          <w:color w:val="000000"/>
          <w:lang w:eastAsia="es-CL"/>
        </w:rPr>
        <w:t>“para decretar la detención provisional del imputado, deberán concurrir los requisitos siguientes:</w:t>
      </w:r>
    </w:p>
    <w:p w14:paraId="253CD181" w14:textId="77777777" w:rsidR="00901879" w:rsidRPr="00ED001E" w:rsidRDefault="00901879" w:rsidP="00901879">
      <w:pPr>
        <w:spacing w:line="240" w:lineRule="auto"/>
        <w:jc w:val="both"/>
        <w:rPr>
          <w:rFonts w:ascii="Times New Roman" w:eastAsia="Times New Roman" w:hAnsi="Times New Roman" w:cs="Times New Roman"/>
          <w:sz w:val="24"/>
          <w:szCs w:val="24"/>
          <w:lang w:eastAsia="es-CL"/>
        </w:rPr>
      </w:pPr>
      <w:r w:rsidRPr="00ED001E">
        <w:rPr>
          <w:rFonts w:ascii="Calibri" w:eastAsia="Times New Roman" w:hAnsi="Calibri" w:cs="Calibri"/>
          <w:color w:val="000000"/>
          <w:lang w:eastAsia="es-CL"/>
        </w:rPr>
        <w:t>1) Que existan elementos de convicción suficientes para sostener razonablemente la existencia de un delito y la probabilidad de participación del imputado.</w:t>
      </w:r>
    </w:p>
    <w:p w14:paraId="293DF6C4" w14:textId="77777777" w:rsidR="00901879" w:rsidRDefault="00901879" w:rsidP="00901879">
      <w:pPr>
        <w:jc w:val="both"/>
        <w:rPr>
          <w:rFonts w:ascii="Calibri" w:eastAsia="Times New Roman" w:hAnsi="Calibri" w:cs="Calibri"/>
          <w:color w:val="000000"/>
          <w:lang w:eastAsia="es-CL"/>
        </w:rPr>
      </w:pPr>
      <w:r w:rsidRPr="00ED001E">
        <w:rPr>
          <w:rFonts w:ascii="Calibri" w:eastAsia="Times New Roman" w:hAnsi="Calibri" w:cs="Calibri"/>
          <w:color w:val="000000"/>
          <w:lang w:eastAsia="es-CL"/>
        </w:rPr>
        <w:t xml:space="preserve">2) Que el delito tenga señalado pena de prisión cuyo límite máximo sea superior a tres años, o bien que, </w:t>
      </w:r>
      <w:r w:rsidR="00071034" w:rsidRPr="00ED001E">
        <w:rPr>
          <w:rFonts w:ascii="Calibri" w:eastAsia="Times New Roman" w:hAnsi="Calibri" w:cs="Calibri"/>
          <w:color w:val="000000"/>
          <w:lang w:eastAsia="es-CL"/>
        </w:rPr>
        <w:t>aun</w:t>
      </w:r>
      <w:r w:rsidRPr="00ED001E">
        <w:rPr>
          <w:rFonts w:ascii="Calibri" w:eastAsia="Times New Roman" w:hAnsi="Calibri" w:cs="Calibri"/>
          <w:color w:val="000000"/>
          <w:lang w:eastAsia="es-CL"/>
        </w:rPr>
        <w:t xml:space="preserve"> cuando la pena sea inferior, el juez considere necesaria la detención provisional, atendidas las circunstancias del hecho, o si el imputado se hallare </w:t>
      </w:r>
      <w:r>
        <w:rPr>
          <w:rFonts w:ascii="Calibri" w:eastAsia="Times New Roman" w:hAnsi="Calibri" w:cs="Calibri"/>
          <w:color w:val="000000"/>
          <w:lang w:eastAsia="es-CL"/>
        </w:rPr>
        <w:t>gozando de otra medida cautelar.”</w:t>
      </w:r>
    </w:p>
    <w:p w14:paraId="493079D2" w14:textId="77777777" w:rsidR="00901879" w:rsidRDefault="00901879" w:rsidP="00901879">
      <w:pPr>
        <w:jc w:val="both"/>
        <w:rPr>
          <w:rFonts w:ascii="Calibri" w:eastAsia="Times New Roman" w:hAnsi="Calibri" w:cs="Calibri"/>
          <w:color w:val="000000"/>
          <w:lang w:eastAsia="es-CL"/>
        </w:rPr>
      </w:pPr>
      <w:r>
        <w:rPr>
          <w:rFonts w:ascii="Calibri" w:eastAsia="Times New Roman" w:hAnsi="Calibri" w:cs="Calibri"/>
          <w:color w:val="000000"/>
          <w:lang w:eastAsia="es-CL"/>
        </w:rPr>
        <w:t xml:space="preserve">Como podemos observar el estándar probatorio en el caso salvadoreño solamente solicita la aportación de elementos de convicción suficientes para que se sostenga la existencia del delito y la probable participación del imputado. </w:t>
      </w:r>
    </w:p>
    <w:p w14:paraId="63BE451A" w14:textId="77777777" w:rsidR="00071034" w:rsidRDefault="00071034" w:rsidP="00901879">
      <w:pPr>
        <w:jc w:val="both"/>
        <w:rPr>
          <w:rFonts w:ascii="Calibri" w:eastAsia="Times New Roman" w:hAnsi="Calibri" w:cs="Calibri"/>
          <w:color w:val="000000"/>
          <w:lang w:eastAsia="es-CL"/>
        </w:rPr>
      </w:pPr>
    </w:p>
    <w:p w14:paraId="156DF228" w14:textId="618D1CAC" w:rsidR="00901879" w:rsidRDefault="00901879" w:rsidP="00901879">
      <w:pPr>
        <w:jc w:val="both"/>
        <w:rPr>
          <w:rFonts w:ascii="Calibri" w:eastAsia="Times New Roman" w:hAnsi="Calibri" w:cs="Calibri"/>
          <w:b/>
          <w:i/>
          <w:color w:val="000000"/>
          <w:lang w:eastAsia="es-CL"/>
        </w:rPr>
      </w:pPr>
      <w:r w:rsidRPr="00ED001E">
        <w:rPr>
          <w:rFonts w:ascii="Calibri" w:eastAsia="Times New Roman" w:hAnsi="Calibri" w:cs="Calibri"/>
          <w:b/>
          <w:i/>
          <w:color w:val="000000"/>
          <w:lang w:eastAsia="es-CL"/>
        </w:rPr>
        <w:t>Código Procesal Penal de Honduras</w:t>
      </w:r>
      <w:r w:rsidR="00EC5F77">
        <w:rPr>
          <w:rFonts w:ascii="Calibri" w:eastAsia="Times New Roman" w:hAnsi="Calibri" w:cs="Calibri"/>
          <w:b/>
          <w:i/>
          <w:color w:val="000000"/>
          <w:lang w:eastAsia="es-CL"/>
        </w:rPr>
        <w:t xml:space="preserve"> de 1999</w:t>
      </w:r>
      <w:r w:rsidR="0001190D">
        <w:rPr>
          <w:rStyle w:val="Refdenotaalpie"/>
          <w:rFonts w:ascii="Calibri" w:eastAsia="Times New Roman" w:hAnsi="Calibri" w:cs="Calibri"/>
          <w:b/>
          <w:i/>
          <w:color w:val="000000"/>
          <w:lang w:eastAsia="es-CL"/>
        </w:rPr>
        <w:footnoteReference w:id="11"/>
      </w:r>
      <w:r w:rsidRPr="00ED001E">
        <w:rPr>
          <w:rFonts w:ascii="Calibri" w:eastAsia="Times New Roman" w:hAnsi="Calibri" w:cs="Calibri"/>
          <w:b/>
          <w:i/>
          <w:color w:val="000000"/>
          <w:lang w:eastAsia="es-CL"/>
        </w:rPr>
        <w:t>.</w:t>
      </w:r>
    </w:p>
    <w:p w14:paraId="35EF97BD" w14:textId="72C653D5" w:rsidR="00901879" w:rsidRDefault="00901879" w:rsidP="00901879">
      <w:pPr>
        <w:jc w:val="both"/>
      </w:pPr>
      <w:r>
        <w:t>Para que se pueda imponer una medida cautelar con privac</w:t>
      </w:r>
      <w:r w:rsidR="0001190D">
        <w:t xml:space="preserve">ión de libertad, el artículo </w:t>
      </w:r>
      <w:r w:rsidR="0001190D" w:rsidRPr="00EC5F77">
        <w:t>172</w:t>
      </w:r>
      <w:r>
        <w:t xml:space="preserve"> de la normativa procesal penal menciona que siempre será preciso: </w:t>
      </w:r>
    </w:p>
    <w:p w14:paraId="439CF1C5" w14:textId="77777777" w:rsidR="00901879" w:rsidRPr="00ED50C9" w:rsidRDefault="00901879" w:rsidP="00901879">
      <w:pPr>
        <w:spacing w:line="240" w:lineRule="auto"/>
        <w:jc w:val="both"/>
        <w:rPr>
          <w:rFonts w:ascii="Times New Roman" w:eastAsia="Times New Roman" w:hAnsi="Times New Roman" w:cs="Times New Roman"/>
          <w:sz w:val="24"/>
          <w:szCs w:val="24"/>
          <w:lang w:eastAsia="es-CL"/>
        </w:rPr>
      </w:pPr>
      <w:r w:rsidRPr="00ED50C9">
        <w:rPr>
          <w:rFonts w:ascii="Calibri" w:eastAsia="Times New Roman" w:hAnsi="Calibri" w:cs="Calibri"/>
          <w:b/>
          <w:bCs/>
          <w:color w:val="000000"/>
          <w:lang w:eastAsia="es-CL"/>
        </w:rPr>
        <w:t>“</w:t>
      </w:r>
      <w:r w:rsidRPr="00ED50C9">
        <w:rPr>
          <w:rFonts w:ascii="Calibri" w:eastAsia="Times New Roman" w:hAnsi="Calibri" w:cs="Calibri"/>
          <w:color w:val="000000"/>
          <w:lang w:eastAsia="es-CL"/>
        </w:rPr>
        <w:t>1. Que existan suficientes indicios para sostener razonablemente que el imputado es autor o partícipe de un hecho tipificado como delito;</w:t>
      </w:r>
    </w:p>
    <w:p w14:paraId="76F3F0AC" w14:textId="77777777" w:rsidR="00901879" w:rsidRPr="00ED50C9" w:rsidRDefault="00901879" w:rsidP="00901879">
      <w:pPr>
        <w:spacing w:line="240" w:lineRule="auto"/>
        <w:jc w:val="both"/>
        <w:rPr>
          <w:rFonts w:ascii="Times New Roman" w:eastAsia="Times New Roman" w:hAnsi="Times New Roman" w:cs="Times New Roman"/>
          <w:sz w:val="24"/>
          <w:szCs w:val="24"/>
          <w:lang w:eastAsia="es-CL"/>
        </w:rPr>
      </w:pPr>
      <w:r w:rsidRPr="00ED50C9">
        <w:rPr>
          <w:rFonts w:ascii="Calibri" w:eastAsia="Times New Roman" w:hAnsi="Calibri" w:cs="Calibri"/>
          <w:color w:val="000000"/>
          <w:lang w:eastAsia="es-CL"/>
        </w:rPr>
        <w:t>2. Que la persona imputada se haya fugado o exista motivo fundado para temer que podría darse a la fuga en caso de permanecer en libertad; y,</w:t>
      </w:r>
    </w:p>
    <w:p w14:paraId="0764FC16" w14:textId="77777777" w:rsidR="00901879" w:rsidRDefault="00901879" w:rsidP="00901879">
      <w:pPr>
        <w:jc w:val="both"/>
        <w:rPr>
          <w:rFonts w:ascii="Calibri" w:eastAsia="Times New Roman" w:hAnsi="Calibri" w:cs="Calibri"/>
          <w:color w:val="000000"/>
          <w:lang w:eastAsia="es-CL"/>
        </w:rPr>
      </w:pPr>
      <w:r w:rsidRPr="00ED50C9">
        <w:rPr>
          <w:rFonts w:ascii="Calibri" w:eastAsia="Times New Roman" w:hAnsi="Calibri" w:cs="Calibri"/>
          <w:color w:val="000000"/>
          <w:lang w:eastAsia="es-CL"/>
        </w:rPr>
        <w:t>3. Que existan fundados motivos para temer que, puesta en libertad, el imputado tratará de destruir o manipular las fuentes de prueba.</w:t>
      </w:r>
      <w:r>
        <w:rPr>
          <w:rFonts w:ascii="Calibri" w:eastAsia="Times New Roman" w:hAnsi="Calibri" w:cs="Calibri"/>
          <w:color w:val="000000"/>
          <w:lang w:eastAsia="es-CL"/>
        </w:rPr>
        <w:t>”</w:t>
      </w:r>
    </w:p>
    <w:p w14:paraId="4827865F" w14:textId="77777777" w:rsidR="00901879" w:rsidRPr="00ED50C9" w:rsidRDefault="00901879" w:rsidP="00901879">
      <w:pPr>
        <w:jc w:val="both"/>
        <w:rPr>
          <w:rFonts w:ascii="Calibri" w:eastAsia="Times New Roman" w:hAnsi="Calibri" w:cs="Calibri"/>
          <w:color w:val="000000"/>
          <w:lang w:eastAsia="es-CL"/>
        </w:rPr>
      </w:pPr>
      <w:r>
        <w:rPr>
          <w:rFonts w:ascii="Calibri" w:eastAsia="Times New Roman" w:hAnsi="Calibri" w:cs="Calibri"/>
          <w:color w:val="000000"/>
          <w:lang w:eastAsia="es-CL"/>
        </w:rPr>
        <w:t xml:space="preserve">A la hora de detallar la forma en la </w:t>
      </w:r>
      <w:r w:rsidR="00071034">
        <w:rPr>
          <w:rFonts w:ascii="Calibri" w:eastAsia="Times New Roman" w:hAnsi="Calibri" w:cs="Calibri"/>
          <w:color w:val="000000"/>
          <w:lang w:eastAsia="es-CL"/>
        </w:rPr>
        <w:t>cual</w:t>
      </w:r>
      <w:r>
        <w:rPr>
          <w:rFonts w:ascii="Calibri" w:eastAsia="Times New Roman" w:hAnsi="Calibri" w:cs="Calibri"/>
          <w:color w:val="000000"/>
          <w:lang w:eastAsia="es-CL"/>
        </w:rPr>
        <w:t xml:space="preserve"> se impondrán las medidas cautelares, el artículo 174 establece que serán impuestas por el órgano jurisdiccional comp</w:t>
      </w:r>
      <w:r w:rsidR="00071034">
        <w:rPr>
          <w:rFonts w:ascii="Calibri" w:eastAsia="Times New Roman" w:hAnsi="Calibri" w:cs="Calibri"/>
          <w:color w:val="000000"/>
          <w:lang w:eastAsia="es-CL"/>
        </w:rPr>
        <w:t>ete</w:t>
      </w:r>
      <w:r>
        <w:rPr>
          <w:rFonts w:ascii="Calibri" w:eastAsia="Times New Roman" w:hAnsi="Calibri" w:cs="Calibri"/>
          <w:color w:val="000000"/>
          <w:lang w:eastAsia="es-CL"/>
        </w:rPr>
        <w:t xml:space="preserve">nte, por auto motivado, en el que se justificará la concurrencia de los presupuestos legitimadores, invocando los indicios que resulten de las investigaciones realizadas. </w:t>
      </w:r>
    </w:p>
    <w:p w14:paraId="2F5AD510" w14:textId="77777777" w:rsidR="00901879" w:rsidRDefault="00901879" w:rsidP="00901879">
      <w:pPr>
        <w:jc w:val="both"/>
        <w:rPr>
          <w:rFonts w:ascii="Calibri" w:hAnsi="Calibri" w:cs="Calibri"/>
          <w:bCs/>
          <w:color w:val="000000"/>
        </w:rPr>
      </w:pPr>
      <w:r w:rsidRPr="00ED50C9">
        <w:rPr>
          <w:rFonts w:ascii="Calibri" w:hAnsi="Calibri" w:cs="Calibri"/>
          <w:bCs/>
          <w:color w:val="000000"/>
        </w:rPr>
        <w:t xml:space="preserve">Existen varios aspectos de la normativa salvadoreña que interesan destacar. En primer lugar, la mención del art. 271 a la necesidad que </w:t>
      </w:r>
      <w:r w:rsidRPr="00975287">
        <w:rPr>
          <w:rFonts w:ascii="Calibri" w:hAnsi="Calibri" w:cs="Calibri"/>
          <w:bCs/>
          <w:i/>
          <w:color w:val="000000"/>
        </w:rPr>
        <w:t>existan suficientes indicios, algo que aleja el estándar probatorio de la necesidad de que exista producción real de prueba</w:t>
      </w:r>
      <w:r w:rsidRPr="00ED50C9">
        <w:rPr>
          <w:rFonts w:ascii="Calibri" w:hAnsi="Calibri" w:cs="Calibri"/>
          <w:bCs/>
          <w:color w:val="000000"/>
        </w:rPr>
        <w:t xml:space="preserve">. Por otro lado, se reafirma la </w:t>
      </w:r>
      <w:r w:rsidRPr="00975287">
        <w:rPr>
          <w:rFonts w:ascii="Calibri" w:hAnsi="Calibri" w:cs="Calibri"/>
          <w:bCs/>
          <w:i/>
          <w:color w:val="000000"/>
        </w:rPr>
        <w:t xml:space="preserve">necesidad de invocar </w:t>
      </w:r>
      <w:r w:rsidR="00071034" w:rsidRPr="00975287">
        <w:rPr>
          <w:rFonts w:ascii="Calibri" w:hAnsi="Calibri" w:cs="Calibri"/>
          <w:bCs/>
          <w:i/>
          <w:color w:val="000000"/>
        </w:rPr>
        <w:t xml:space="preserve">solamente </w:t>
      </w:r>
      <w:r w:rsidRPr="00975287">
        <w:rPr>
          <w:rFonts w:ascii="Calibri" w:hAnsi="Calibri" w:cs="Calibri"/>
          <w:bCs/>
          <w:i/>
          <w:color w:val="000000"/>
        </w:rPr>
        <w:t>indicios que resulten de las investigaciones realizadas tal y como menciona el art. 174</w:t>
      </w:r>
      <w:r w:rsidRPr="00ED50C9">
        <w:rPr>
          <w:rFonts w:ascii="Calibri" w:hAnsi="Calibri" w:cs="Calibri"/>
          <w:bCs/>
          <w:color w:val="000000"/>
        </w:rPr>
        <w:t>.</w:t>
      </w:r>
    </w:p>
    <w:p w14:paraId="4AAC8587" w14:textId="77777777" w:rsidR="00071034" w:rsidRDefault="00071034" w:rsidP="00901879">
      <w:pPr>
        <w:jc w:val="both"/>
        <w:rPr>
          <w:rFonts w:ascii="Calibri" w:hAnsi="Calibri" w:cs="Calibri"/>
          <w:bCs/>
          <w:color w:val="000000"/>
        </w:rPr>
      </w:pPr>
    </w:p>
    <w:p w14:paraId="578B6728" w14:textId="4D591273" w:rsidR="00901879" w:rsidRDefault="00901879" w:rsidP="00901879">
      <w:pPr>
        <w:jc w:val="both"/>
        <w:rPr>
          <w:rFonts w:ascii="Calibri" w:hAnsi="Calibri" w:cs="Calibri"/>
          <w:b/>
          <w:i/>
          <w:color w:val="000000"/>
        </w:rPr>
      </w:pPr>
      <w:r w:rsidRPr="00ED50C9">
        <w:rPr>
          <w:rFonts w:ascii="Calibri" w:hAnsi="Calibri" w:cs="Calibri"/>
          <w:b/>
          <w:i/>
          <w:color w:val="000000"/>
        </w:rPr>
        <w:t>Código Nacional de Procedimientos Penales de México</w:t>
      </w:r>
      <w:r w:rsidR="00221342">
        <w:rPr>
          <w:rFonts w:ascii="Calibri" w:hAnsi="Calibri" w:cs="Calibri"/>
          <w:b/>
          <w:i/>
          <w:color w:val="000000"/>
        </w:rPr>
        <w:t xml:space="preserve"> de 2014</w:t>
      </w:r>
      <w:r w:rsidR="00221342">
        <w:rPr>
          <w:rStyle w:val="Refdenotaalpie"/>
          <w:rFonts w:ascii="Calibri" w:hAnsi="Calibri" w:cs="Calibri"/>
          <w:b/>
          <w:i/>
          <w:color w:val="000000"/>
        </w:rPr>
        <w:footnoteReference w:id="12"/>
      </w:r>
      <w:r w:rsidRPr="00ED50C9">
        <w:rPr>
          <w:rFonts w:ascii="Calibri" w:hAnsi="Calibri" w:cs="Calibri"/>
          <w:b/>
          <w:i/>
          <w:color w:val="000000"/>
        </w:rPr>
        <w:t xml:space="preserve">. </w:t>
      </w:r>
    </w:p>
    <w:p w14:paraId="1A013E94" w14:textId="77777777" w:rsidR="00901879" w:rsidRPr="00ED50C9" w:rsidRDefault="00901879" w:rsidP="00901879">
      <w:pPr>
        <w:jc w:val="both"/>
        <w:rPr>
          <w:rFonts w:cstheme="minorHAnsi"/>
          <w:color w:val="000000"/>
        </w:rPr>
      </w:pPr>
      <w:r w:rsidRPr="00ED50C9">
        <w:rPr>
          <w:rFonts w:cstheme="minorHAnsi"/>
          <w:color w:val="000000"/>
        </w:rPr>
        <w:t xml:space="preserve">La normativa procesal penal mexicana, que se aplica en la totalidad de la jurisdicción penal del país, establece en su artículo 154 </w:t>
      </w:r>
      <w:r w:rsidRPr="00975287">
        <w:rPr>
          <w:rFonts w:cstheme="minorHAnsi"/>
          <w:i/>
          <w:color w:val="000000"/>
        </w:rPr>
        <w:t>que “las partes podrán ofrecer aquellos medios de prueba pertinentes</w:t>
      </w:r>
      <w:r w:rsidRPr="00ED50C9">
        <w:rPr>
          <w:rFonts w:cstheme="minorHAnsi"/>
          <w:color w:val="000000"/>
        </w:rPr>
        <w:t xml:space="preserve"> para analizar la procedencia de la medida solicitada”. </w:t>
      </w:r>
    </w:p>
    <w:p w14:paraId="3CCA6D76" w14:textId="77777777" w:rsidR="00901879" w:rsidRPr="00ED50C9" w:rsidRDefault="00901879" w:rsidP="00901879">
      <w:pPr>
        <w:spacing w:line="240" w:lineRule="auto"/>
        <w:jc w:val="both"/>
        <w:rPr>
          <w:rFonts w:eastAsia="Times New Roman" w:cstheme="minorHAnsi"/>
          <w:lang w:eastAsia="es-CL"/>
        </w:rPr>
      </w:pPr>
      <w:r w:rsidRPr="00ED50C9">
        <w:rPr>
          <w:rFonts w:eastAsia="Times New Roman" w:cstheme="minorHAnsi"/>
          <w:lang w:eastAsia="es-CL"/>
        </w:rPr>
        <w:t>Por otro lado, en el artículo 163, se regula que “</w:t>
      </w:r>
      <w:r w:rsidRPr="00975287">
        <w:rPr>
          <w:rFonts w:eastAsia="Times New Roman" w:cstheme="minorHAnsi"/>
          <w:i/>
          <w:lang w:eastAsia="es-CL"/>
        </w:rPr>
        <w:t>las partes pueden invocar datos u ofrecer medios de prueba</w:t>
      </w:r>
      <w:r w:rsidRPr="00ED50C9">
        <w:rPr>
          <w:rFonts w:eastAsia="Times New Roman" w:cstheme="minorHAnsi"/>
          <w:lang w:eastAsia="es-CL"/>
        </w:rPr>
        <w:t xml:space="preserve"> </w:t>
      </w:r>
      <w:r w:rsidRPr="00ED50C9">
        <w:rPr>
          <w:rFonts w:eastAsia="Times New Roman" w:cstheme="minorHAnsi"/>
          <w:color w:val="000000"/>
          <w:lang w:eastAsia="es-CL"/>
        </w:rPr>
        <w:t>para que se imponga, confirme, modifique o revoque, según el caso, la medida cautelar.”</w:t>
      </w:r>
    </w:p>
    <w:p w14:paraId="3CD61C76" w14:textId="77777777" w:rsidR="00FD6289" w:rsidRPr="00975287" w:rsidRDefault="00901879" w:rsidP="00901879">
      <w:pPr>
        <w:jc w:val="both"/>
        <w:rPr>
          <w:i/>
        </w:rPr>
      </w:pPr>
      <w:r>
        <w:t xml:space="preserve">De ambos preceptos </w:t>
      </w:r>
      <w:r w:rsidR="00071034">
        <w:t>podemos</w:t>
      </w:r>
      <w:r>
        <w:t xml:space="preserve"> advertir que </w:t>
      </w:r>
      <w:r w:rsidRPr="00975287">
        <w:rPr>
          <w:i/>
        </w:rPr>
        <w:t xml:space="preserve">el estándar de prueba exigido en México se limita al ofrecimiento de la misma, esto es, a mencionar qué elementos probatorios dispone el fiscal, en qué consisten cada uno de estos elementos de prueba y finalmente cuál es la vinculación que </w:t>
      </w:r>
      <w:r w:rsidR="00071034" w:rsidRPr="00975287">
        <w:rPr>
          <w:i/>
        </w:rPr>
        <w:t>tienen</w:t>
      </w:r>
      <w:r w:rsidRPr="00975287">
        <w:rPr>
          <w:i/>
        </w:rPr>
        <w:t xml:space="preserve"> con la configuración de los supuestos necesarios para la imposición de una medida cautelar como la prisión preventiva. </w:t>
      </w:r>
    </w:p>
    <w:p w14:paraId="7D0EB77A" w14:textId="77777777" w:rsidR="00071034" w:rsidRDefault="00071034" w:rsidP="00901879">
      <w:pPr>
        <w:jc w:val="both"/>
      </w:pPr>
    </w:p>
    <w:p w14:paraId="38A1B0A4" w14:textId="77777777" w:rsidR="00FD6289" w:rsidRDefault="00FD6289" w:rsidP="00FD6289">
      <w:pPr>
        <w:rPr>
          <w:b/>
        </w:rPr>
      </w:pPr>
      <w:r w:rsidRPr="00FD6289">
        <w:rPr>
          <w:b/>
        </w:rPr>
        <w:lastRenderedPageBreak/>
        <w:t xml:space="preserve">3. </w:t>
      </w:r>
      <w:r w:rsidR="00901879">
        <w:rPr>
          <w:b/>
        </w:rPr>
        <w:t>ESTÁNDAR DE PRUEBA PARA LA IMPOSICIÓN DE MEDIDAS CAUTELARES PRIVATIVAS DE LIBERTAD EN LOS CÓDIGOS ADVERSARIALES LATINOAMERICANOS.</w:t>
      </w:r>
    </w:p>
    <w:p w14:paraId="2E025E05" w14:textId="77777777" w:rsidR="00901879" w:rsidRDefault="00901879" w:rsidP="00901879">
      <w:pPr>
        <w:jc w:val="both"/>
      </w:pPr>
      <w:r w:rsidRPr="00901879">
        <w:t>A continuación</w:t>
      </w:r>
      <w:r>
        <w:t>,</w:t>
      </w:r>
      <w:r w:rsidRPr="00901879">
        <w:t xml:space="preserve"> nos gustaría realizar un ejercicio de identificación de cuál es el modelo preeminente que han seguido los legisladores latinoamericanos a la hora de configurar </w:t>
      </w:r>
      <w:r w:rsidR="00071034">
        <w:t>el</w:t>
      </w:r>
      <w:r w:rsidRPr="00901879">
        <w:t xml:space="preserve"> estándar de prueba necesario para imponer una medida cautelar privativa de libertad. Para ello,</w:t>
      </w:r>
      <w:r w:rsidR="00FD2D70">
        <w:t xml:space="preserve"> tendremos en cuenta los aspectos comunes </w:t>
      </w:r>
      <w:r w:rsidRPr="00901879">
        <w:t>existentes en la normativa de los pa</w:t>
      </w:r>
      <w:r w:rsidR="00FD2D70">
        <w:t xml:space="preserve">íses mencionados en el capítulo anterior. </w:t>
      </w:r>
    </w:p>
    <w:p w14:paraId="2BDDA283" w14:textId="77777777" w:rsidR="00FD2D70" w:rsidRDefault="00FD2D70" w:rsidP="00901879">
      <w:pPr>
        <w:jc w:val="both"/>
      </w:pPr>
      <w:r>
        <w:t xml:space="preserve">La descripción de este modelo </w:t>
      </w:r>
      <w:r w:rsidR="00071034">
        <w:t>general a nivel latinoamericano</w:t>
      </w:r>
      <w:r>
        <w:t xml:space="preserve"> se estructurará en base a los siguientes temas:</w:t>
      </w:r>
    </w:p>
    <w:p w14:paraId="70B03402" w14:textId="77777777" w:rsidR="00FD2D70" w:rsidRDefault="00FD2D70" w:rsidP="00FD2D70">
      <w:pPr>
        <w:pStyle w:val="Prrafodelista"/>
        <w:numPr>
          <w:ilvl w:val="0"/>
          <w:numId w:val="1"/>
        </w:numPr>
        <w:jc w:val="both"/>
      </w:pPr>
      <w:r>
        <w:t xml:space="preserve">Forma de presentación de la prueba. </w:t>
      </w:r>
    </w:p>
    <w:p w14:paraId="32C82850" w14:textId="0E75AE75" w:rsidR="00FD2D70" w:rsidRDefault="00FD2D70" w:rsidP="00FD2D70">
      <w:pPr>
        <w:pStyle w:val="Prrafodelista"/>
        <w:numPr>
          <w:ilvl w:val="0"/>
          <w:numId w:val="1"/>
        </w:numPr>
        <w:jc w:val="both"/>
      </w:pPr>
      <w:r>
        <w:t xml:space="preserve">Estándar de </w:t>
      </w:r>
      <w:r w:rsidR="00A34EAB">
        <w:t>prueba requerida</w:t>
      </w:r>
    </w:p>
    <w:p w14:paraId="43BF5B01" w14:textId="69AD61C3" w:rsidR="00FD2D70" w:rsidRDefault="00FD2D70" w:rsidP="00FD2D70">
      <w:pPr>
        <w:pStyle w:val="Prrafodelista"/>
        <w:numPr>
          <w:ilvl w:val="0"/>
          <w:numId w:val="1"/>
        </w:numPr>
        <w:jc w:val="both"/>
      </w:pPr>
      <w:r>
        <w:t xml:space="preserve">Posibilidad de intervención de terceros en la audiencia. </w:t>
      </w:r>
    </w:p>
    <w:p w14:paraId="3B8C6569" w14:textId="1852FE6E" w:rsidR="00DE54AB" w:rsidRDefault="00DE54AB" w:rsidP="00FD2D70">
      <w:pPr>
        <w:pStyle w:val="Prrafodelista"/>
        <w:numPr>
          <w:ilvl w:val="0"/>
          <w:numId w:val="1"/>
        </w:numPr>
        <w:jc w:val="both"/>
      </w:pPr>
      <w:r>
        <w:t>Acerca de la regulación o no regulación de las prácticas de la audiencia.</w:t>
      </w:r>
    </w:p>
    <w:p w14:paraId="1F131C51" w14:textId="77777777" w:rsidR="00FD2D70" w:rsidRDefault="00FD2D70" w:rsidP="00901879">
      <w:pPr>
        <w:jc w:val="both"/>
      </w:pPr>
      <w:r>
        <w:t xml:space="preserve">En cuanto a la </w:t>
      </w:r>
      <w:r w:rsidR="00EC33CE" w:rsidRPr="00EC33CE">
        <w:rPr>
          <w:b/>
        </w:rPr>
        <w:t xml:space="preserve">forma de </w:t>
      </w:r>
      <w:r w:rsidRPr="00EC33CE">
        <w:rPr>
          <w:b/>
        </w:rPr>
        <w:t>presentación de la prueba</w:t>
      </w:r>
      <w:r w:rsidRPr="00975287">
        <w:rPr>
          <w:b/>
        </w:rPr>
        <w:t xml:space="preserve">, ninguno de los códigos menciona la necesidad de que la prueba se produzca </w:t>
      </w:r>
      <w:r w:rsidR="00EC33CE" w:rsidRPr="00975287">
        <w:rPr>
          <w:b/>
        </w:rPr>
        <w:t xml:space="preserve">o sustancie </w:t>
      </w:r>
      <w:r w:rsidRPr="00975287">
        <w:rPr>
          <w:b/>
        </w:rPr>
        <w:t>en la audiencia en la que se va a decidir la medida cautelar</w:t>
      </w:r>
      <w:r>
        <w:t xml:space="preserve">. Por el contrario, </w:t>
      </w:r>
      <w:r w:rsidRPr="00975287">
        <w:rPr>
          <w:b/>
        </w:rPr>
        <w:t xml:space="preserve">los códigos suelen mencionar el ofrecimiento de la prueba, entendido este como la mención de los elementos probatorios disponibles por la parte, la descripción de su contenido principal y la vinculación con los requisitos de la medida cautelar que se está solicitando. </w:t>
      </w:r>
      <w:r w:rsidR="00EC33CE" w:rsidRPr="00975287">
        <w:rPr>
          <w:b/>
        </w:rPr>
        <w:t>En ese sentido, predomina la existencia de un paradigma de oralidad argumentativa</w:t>
      </w:r>
      <w:r w:rsidR="00EC33CE">
        <w:t xml:space="preserve">, en el que se debe justificar la prisión preventiva en base a los antecedentes producidos en la investigación realizada por la fiscalía y los antecedentes policiales. </w:t>
      </w:r>
    </w:p>
    <w:p w14:paraId="0E73FB1A" w14:textId="5257DB01" w:rsidR="002F17A2" w:rsidRDefault="00EC33CE" w:rsidP="00901879">
      <w:pPr>
        <w:jc w:val="both"/>
      </w:pPr>
      <w:r>
        <w:t xml:space="preserve">En relación al </w:t>
      </w:r>
      <w:r w:rsidRPr="00EC33CE">
        <w:rPr>
          <w:b/>
        </w:rPr>
        <w:t xml:space="preserve">estándar de </w:t>
      </w:r>
      <w:r w:rsidR="00A34EAB">
        <w:rPr>
          <w:b/>
        </w:rPr>
        <w:t>prueba</w:t>
      </w:r>
      <w:r w:rsidR="00A34EAB" w:rsidRPr="00EC33CE">
        <w:rPr>
          <w:b/>
        </w:rPr>
        <w:t xml:space="preserve"> requerida</w:t>
      </w:r>
      <w:r>
        <w:t xml:space="preserve">, comprobamos que </w:t>
      </w:r>
      <w:r w:rsidRPr="00975287">
        <w:rPr>
          <w:b/>
        </w:rPr>
        <w:t>en todos los códigos existe un estándar inferior al requerido e</w:t>
      </w:r>
      <w:r w:rsidR="002F17A2" w:rsidRPr="00975287">
        <w:rPr>
          <w:b/>
        </w:rPr>
        <w:t>n otras etapas del proceso como el dictado de una condena en la etapa de juicio oral</w:t>
      </w:r>
      <w:r>
        <w:t xml:space="preserve">. A nuestro juicio y a la luz del derecho comparado, resulta bastante evidente la necesidad de generar estándares de </w:t>
      </w:r>
      <w:r w:rsidR="00F4107D">
        <w:t xml:space="preserve">prueba </w:t>
      </w:r>
      <w:r>
        <w:t xml:space="preserve">diferenciados en función de la gravedad de la decisión judicial que se va a generar. En ese sentido, </w:t>
      </w:r>
      <w:r w:rsidRPr="00975287">
        <w:rPr>
          <w:b/>
        </w:rPr>
        <w:t>los códigos latinoamericano</w:t>
      </w:r>
      <w:r w:rsidR="002F17A2" w:rsidRPr="00975287">
        <w:rPr>
          <w:b/>
        </w:rPr>
        <w:t>s</w:t>
      </w:r>
      <w:r w:rsidRPr="00975287">
        <w:rPr>
          <w:b/>
        </w:rPr>
        <w:t xml:space="preserve"> establecen estándares moderados a efectos de imponerse una medida cautelar, aunque esta suponga la privación de libertad</w:t>
      </w:r>
      <w:r>
        <w:t xml:space="preserve">. </w:t>
      </w:r>
      <w:r w:rsidR="002F17A2">
        <w:t xml:space="preserve">Por ejemplo, la normativa hondureña solicita la existencia de indicios, en los códigos del Salvador y Bolivia se menciona la necesidad de acreditar elementos de convicción suficientes y en la regulación chilena, se refieren a la acreditación de antecedentes. De todos estos ejemplos, podemos concluir que en ninguno de los casos se requiere la existencia de un estándar elevado que requiera la producción de prueba en la audiencia en que se decrete la medida cautelar. </w:t>
      </w:r>
    </w:p>
    <w:p w14:paraId="1274DDBA" w14:textId="71751699" w:rsidR="002F17A2" w:rsidRDefault="002F17A2" w:rsidP="00901879">
      <w:pPr>
        <w:jc w:val="both"/>
      </w:pPr>
      <w:r>
        <w:t xml:space="preserve">Un último aspecto que caracteriza la regulación latinoamericana tiene que ver con la </w:t>
      </w:r>
      <w:r w:rsidRPr="002F17A2">
        <w:rPr>
          <w:b/>
        </w:rPr>
        <w:t xml:space="preserve">posibilidad de </w:t>
      </w:r>
      <w:r>
        <w:rPr>
          <w:b/>
        </w:rPr>
        <w:t xml:space="preserve">intervención </w:t>
      </w:r>
      <w:r w:rsidRPr="002F17A2">
        <w:rPr>
          <w:b/>
        </w:rPr>
        <w:t>de terceros</w:t>
      </w:r>
      <w:r>
        <w:rPr>
          <w:b/>
        </w:rPr>
        <w:t xml:space="preserve"> en la audiencia</w:t>
      </w:r>
      <w:r>
        <w:t>. En la mayoría de legislaciones comparadas existe un reconocimien</w:t>
      </w:r>
      <w:r w:rsidR="00CC615A">
        <w:t xml:space="preserve">to a la posibilidad de que el </w:t>
      </w:r>
      <w:r>
        <w:t>abogado defensor pueda intervenir a continuación de la solicitud de medidas cautelares. También, es común que se reconozca la posibilidad de que el imputado pueda declarar ya que es sobre él sobre quien se solicita una medida cautelar que en algunos casos podrá suponer la privación de su libertad. Finalme</w:t>
      </w:r>
      <w:r w:rsidR="00A244E5">
        <w:t>n</w:t>
      </w:r>
      <w:r>
        <w:t>te, según</w:t>
      </w:r>
      <w:r w:rsidR="00CC615A">
        <w:t xml:space="preserve"> varios códigos también </w:t>
      </w:r>
      <w:r>
        <w:t xml:space="preserve">se reconoce la posibilidad de que intervengan los querellantes ya que pudiesen tener </w:t>
      </w:r>
      <w:r w:rsidR="00A244E5">
        <w:t xml:space="preserve">una posición diferente o complementaria a la de la fiscalía. </w:t>
      </w:r>
    </w:p>
    <w:p w14:paraId="286AF4C6" w14:textId="77777777" w:rsidR="00A244E5" w:rsidRPr="00975287" w:rsidRDefault="00A244E5" w:rsidP="00901879">
      <w:pPr>
        <w:jc w:val="both"/>
        <w:rPr>
          <w:b/>
        </w:rPr>
      </w:pPr>
      <w:r>
        <w:lastRenderedPageBreak/>
        <w:t xml:space="preserve">Eso sí, debemos manifestar </w:t>
      </w:r>
      <w:r w:rsidRPr="00975287">
        <w:rPr>
          <w:b/>
        </w:rPr>
        <w:t>que no existe ninguna norma en los códigos observados en los que se establezca la participación de otros intervinientes como testigos, peritos o funcionarios policiales.</w:t>
      </w:r>
      <w:r>
        <w:t xml:space="preserve"> La normativa procesal penal presente en la mayoría de países latinoamericanos comprende que </w:t>
      </w:r>
      <w:r w:rsidRPr="00975287">
        <w:rPr>
          <w:b/>
        </w:rPr>
        <w:t xml:space="preserve">la audiencia de medidas cautelares no es una audiencia destinada a la producción de prueba, motivo por el cuál no se contempla la participación de terceros que pudiesen prestar testimonio y ser interrogados y contrainterrogados por la fiscalía y la defensa. </w:t>
      </w:r>
    </w:p>
    <w:p w14:paraId="09C411E1" w14:textId="77777777" w:rsidR="00DE54AB" w:rsidRDefault="00922F43" w:rsidP="00901879">
      <w:pPr>
        <w:jc w:val="both"/>
      </w:pPr>
      <w:r>
        <w:t>Finalmente,</w:t>
      </w:r>
      <w:r w:rsidR="00DE54AB">
        <w:t xml:space="preserve"> nos gustaría destinar unos párrafos </w:t>
      </w:r>
      <w:r w:rsidR="00DE54AB" w:rsidRPr="00DE54AB">
        <w:rPr>
          <w:b/>
        </w:rPr>
        <w:t>acerca de la regulación o no regulación de las pr</w:t>
      </w:r>
      <w:r w:rsidR="00DE54AB">
        <w:rPr>
          <w:b/>
        </w:rPr>
        <w:t>ácticas de la audiencia</w:t>
      </w:r>
      <w:r w:rsidR="00DE54AB">
        <w:t xml:space="preserve">. Esto, debido a que es común que la normativa </w:t>
      </w:r>
      <w:r>
        <w:t xml:space="preserve">procesal penal no </w:t>
      </w:r>
      <w:r w:rsidR="00DE54AB">
        <w:t xml:space="preserve">regule </w:t>
      </w:r>
      <w:r>
        <w:t xml:space="preserve">normativamente </w:t>
      </w:r>
      <w:r w:rsidR="00DE54AB">
        <w:t>cómo se materializa a efectos probatorios</w:t>
      </w:r>
      <w:r>
        <w:t xml:space="preserve"> la acreditación del supuesto material en una audiencia de medidas cautelares. </w:t>
      </w:r>
    </w:p>
    <w:p w14:paraId="2A3D1F5B" w14:textId="474A55A2" w:rsidR="00EC33CE" w:rsidRPr="00975287" w:rsidRDefault="00922F43" w:rsidP="00901879">
      <w:pPr>
        <w:jc w:val="both"/>
        <w:rPr>
          <w:color w:val="FF0000"/>
        </w:rPr>
      </w:pPr>
      <w:r>
        <w:t xml:space="preserve">En la mayoría de los países, se entiende que este es un aspecto práctico que va a depender de la litigación del caso concreto. A estos efectos es muy ilustrativo una referencia a </w:t>
      </w:r>
      <w:r w:rsidRPr="00975287">
        <w:rPr>
          <w:color w:val="FF0000"/>
        </w:rPr>
        <w:t xml:space="preserve">los chilenos Duce y Riego: </w:t>
      </w:r>
    </w:p>
    <w:p w14:paraId="6AEF772C" w14:textId="06DD88FF" w:rsidR="00922F43" w:rsidRPr="00922F43" w:rsidRDefault="00922F43" w:rsidP="00922F43">
      <w:pPr>
        <w:ind w:left="567" w:right="900"/>
        <w:jc w:val="both"/>
        <w:rPr>
          <w:sz w:val="20"/>
          <w:szCs w:val="20"/>
        </w:rPr>
      </w:pPr>
      <w:r>
        <w:rPr>
          <w:sz w:val="20"/>
          <w:szCs w:val="20"/>
        </w:rPr>
        <w:t xml:space="preserve">“(…) </w:t>
      </w:r>
      <w:r w:rsidRPr="00922F43">
        <w:rPr>
          <w:sz w:val="20"/>
          <w:szCs w:val="20"/>
        </w:rPr>
        <w:t>la presentación de los antecedentes que fundamentan las medidas cautelares en la audiencia no está regulada, recordemos que estas audiencias preliminares no rigen las reglas de prueba del juicio oral</w:t>
      </w:r>
      <w:r w:rsidRPr="00975287">
        <w:rPr>
          <w:b/>
          <w:sz w:val="20"/>
          <w:szCs w:val="20"/>
        </w:rPr>
        <w:t>. El método de presentación de estos antecedentes es variable y depende fundamentalmente del curso del debate y, sobre todo, del criterio del juez: deberán entonces presentarse los antecedentes del modo que convenzan al juez de la seriedad de los cargos que se trate.</w:t>
      </w:r>
      <w:r w:rsidRPr="00922F43">
        <w:rPr>
          <w:sz w:val="20"/>
          <w:szCs w:val="20"/>
        </w:rPr>
        <w:t xml:space="preserve"> </w:t>
      </w:r>
    </w:p>
    <w:p w14:paraId="7FBBB0DE" w14:textId="29FAC494" w:rsidR="00922F43" w:rsidRPr="00922F43" w:rsidRDefault="00922F43" w:rsidP="00922F43">
      <w:pPr>
        <w:ind w:left="567" w:right="900"/>
        <w:jc w:val="both"/>
        <w:rPr>
          <w:color w:val="FF0000"/>
          <w:sz w:val="20"/>
          <w:szCs w:val="20"/>
        </w:rPr>
      </w:pPr>
      <w:r w:rsidRPr="00922F43">
        <w:rPr>
          <w:sz w:val="20"/>
          <w:szCs w:val="20"/>
        </w:rPr>
        <w:t xml:space="preserve">Normalmente, en la audiencia el fiscal relatará al juez los antecedentes y dará una breve cuenta de su contenido. Si el defensor no hace mayores objeciones, probablemente el juez no requiera más que eso. Puede pasar, en cambio, que el juez requiera que se le muestren registros donde consten las declaraciones que se invocan y quiera </w:t>
      </w:r>
      <w:r>
        <w:rPr>
          <w:sz w:val="20"/>
          <w:szCs w:val="20"/>
        </w:rPr>
        <w:t>revisarlos con cierto detalle o</w:t>
      </w:r>
      <w:r w:rsidRPr="00922F43">
        <w:rPr>
          <w:sz w:val="20"/>
          <w:szCs w:val="20"/>
        </w:rPr>
        <w:t>, por último, puede ser que en casos excepcionales exija el juez que ciertos testigos importantes sean traídos a su presencia con el fin de determinar con mayor precisión el contenido de su declaración. El c</w:t>
      </w:r>
      <w:r>
        <w:rPr>
          <w:sz w:val="20"/>
          <w:szCs w:val="20"/>
        </w:rPr>
        <w:t>riterio judicial en cuan</w:t>
      </w:r>
      <w:r w:rsidRPr="00922F43">
        <w:rPr>
          <w:sz w:val="20"/>
          <w:szCs w:val="20"/>
        </w:rPr>
        <w:t>t</w:t>
      </w:r>
      <w:r>
        <w:rPr>
          <w:sz w:val="20"/>
          <w:szCs w:val="20"/>
        </w:rPr>
        <w:t xml:space="preserve">o a </w:t>
      </w:r>
      <w:r w:rsidRPr="00922F43">
        <w:rPr>
          <w:sz w:val="20"/>
          <w:szCs w:val="20"/>
        </w:rPr>
        <w:t>la</w:t>
      </w:r>
      <w:r>
        <w:rPr>
          <w:sz w:val="20"/>
          <w:szCs w:val="20"/>
        </w:rPr>
        <w:t xml:space="preserve"> </w:t>
      </w:r>
      <w:r w:rsidRPr="00922F43">
        <w:rPr>
          <w:sz w:val="20"/>
          <w:szCs w:val="20"/>
        </w:rPr>
        <w:t>exigencia del modo en que los antecedentes le sean exhibidos dependerá probablemente de diversos elementos, entre ellos, la gravedad de la medida solicitad, la duración que se prevé para la misma, la actitud de la defensa y también la cre</w:t>
      </w:r>
      <w:r>
        <w:rPr>
          <w:sz w:val="20"/>
          <w:szCs w:val="20"/>
        </w:rPr>
        <w:t>d</w:t>
      </w:r>
      <w:r w:rsidRPr="00922F43">
        <w:rPr>
          <w:sz w:val="20"/>
          <w:szCs w:val="20"/>
        </w:rPr>
        <w:t>ibilidad</w:t>
      </w:r>
      <w:r>
        <w:rPr>
          <w:sz w:val="20"/>
          <w:szCs w:val="20"/>
        </w:rPr>
        <w:t xml:space="preserve"> de quien los invoca.”</w:t>
      </w:r>
      <w:r>
        <w:rPr>
          <w:rStyle w:val="Refdenotaalpie"/>
          <w:sz w:val="20"/>
          <w:szCs w:val="20"/>
        </w:rPr>
        <w:footnoteReference w:id="13"/>
      </w:r>
    </w:p>
    <w:p w14:paraId="4FEC94CB" w14:textId="77777777" w:rsidR="00922F43" w:rsidRDefault="00922F43" w:rsidP="00901879">
      <w:pPr>
        <w:jc w:val="both"/>
      </w:pPr>
    </w:p>
    <w:p w14:paraId="4A704ABF" w14:textId="2B628DFD" w:rsidR="00135C7A" w:rsidRDefault="00FD6289" w:rsidP="00FD6289">
      <w:r w:rsidRPr="00FD6289">
        <w:rPr>
          <w:b/>
        </w:rPr>
        <w:t>4. PRINCIPALES DESAFÍOS</w:t>
      </w:r>
      <w:r w:rsidR="003533F6">
        <w:rPr>
          <w:b/>
        </w:rPr>
        <w:t xml:space="preserve"> </w:t>
      </w:r>
      <w:r w:rsidR="00B07D02">
        <w:rPr>
          <w:b/>
        </w:rPr>
        <w:t>EN URUGUAY</w:t>
      </w:r>
    </w:p>
    <w:p w14:paraId="2E7809B8" w14:textId="0C1C53D2" w:rsidR="00B07D02" w:rsidRDefault="00B07D02" w:rsidP="00B07D02">
      <w:pPr>
        <w:jc w:val="both"/>
      </w:pPr>
      <w:r>
        <w:t xml:space="preserve">La implementación del sistema adversarial penal en Uruguay constituye un reto histórico. En su favor, se ha dado un paso fundamental al aprobar un nuevo Código del Proceso Penal que establece una estructura procesal basada en la oralidad y la audiencia como </w:t>
      </w:r>
      <w:r w:rsidR="00AB7379">
        <w:t>métodos de trabajo</w:t>
      </w:r>
      <w:r>
        <w:t>.</w:t>
      </w:r>
    </w:p>
    <w:p w14:paraId="63FB0F60" w14:textId="6601237E" w:rsidR="00AB7379" w:rsidRPr="00975287" w:rsidRDefault="00B07D02" w:rsidP="00B07D02">
      <w:pPr>
        <w:jc w:val="both"/>
        <w:rPr>
          <w:b/>
        </w:rPr>
      </w:pPr>
      <w:r>
        <w:t xml:space="preserve">Sin perjuicio de ello, debe recordarse que la experiencia latinoamericana nos ha demostrado que </w:t>
      </w:r>
      <w:r w:rsidRPr="00975287">
        <w:rPr>
          <w:color w:val="FF0000"/>
        </w:rPr>
        <w:t>el éxito o fracaso de la reforma se juega centralmente en el campo de las prácticas de los operadores</w:t>
      </w:r>
      <w:r>
        <w:t xml:space="preserve">. Por ello, </w:t>
      </w:r>
      <w:proofErr w:type="spellStart"/>
      <w:r w:rsidRPr="00975287">
        <w:rPr>
          <w:color w:val="FF0000"/>
        </w:rPr>
        <w:t>Binder</w:t>
      </w:r>
      <w:proofErr w:type="spellEnd"/>
      <w:r w:rsidRPr="00975287">
        <w:rPr>
          <w:color w:val="FF0000"/>
        </w:rPr>
        <w:t xml:space="preserve"> afirma que la reforma procesal penal consiste en un </w:t>
      </w:r>
      <w:r w:rsidRPr="00975287">
        <w:rPr>
          <w:i/>
          <w:color w:val="FF0000"/>
        </w:rPr>
        <w:t>duelo de prácticas</w:t>
      </w:r>
      <w:r w:rsidRPr="00975287">
        <w:rPr>
          <w:color w:val="FF0000"/>
        </w:rPr>
        <w:t>, es decir, un “enfrentamiento entre las viejas y las nuevas, entre la tradición de las prácticas inquisitoriales y las nuevas formas de actuación del modelo adversarial</w:t>
      </w:r>
      <w:r w:rsidRPr="00B07D02">
        <w:t>”</w:t>
      </w:r>
      <w:r w:rsidR="00CD7FC3">
        <w:rPr>
          <w:rStyle w:val="Refdenotaalpie"/>
        </w:rPr>
        <w:footnoteReference w:id="14"/>
      </w:r>
      <w:r>
        <w:t xml:space="preserve">. </w:t>
      </w:r>
      <w:r w:rsidR="00AB7379" w:rsidRPr="00975287">
        <w:rPr>
          <w:b/>
        </w:rPr>
        <w:t xml:space="preserve">Esta idea </w:t>
      </w:r>
      <w:r w:rsidR="00AB7379" w:rsidRPr="00975287">
        <w:rPr>
          <w:b/>
        </w:rPr>
        <w:lastRenderedPageBreak/>
        <w:t>tiene</w:t>
      </w:r>
      <w:r w:rsidR="00AB7379">
        <w:t xml:space="preserve"> </w:t>
      </w:r>
      <w:r w:rsidR="00AB7379" w:rsidRPr="00975287">
        <w:rPr>
          <w:b/>
        </w:rPr>
        <w:t xml:space="preserve">una implicancia muy </w:t>
      </w:r>
      <w:r w:rsidR="000A2050" w:rsidRPr="00975287">
        <w:rPr>
          <w:b/>
        </w:rPr>
        <w:t>significativa</w:t>
      </w:r>
      <w:r w:rsidR="00AB7379" w:rsidRPr="00975287">
        <w:rPr>
          <w:b/>
        </w:rPr>
        <w:t>: reconocer que el abandono del modelo escrito-inquisitivo deberá intentarse cotidianamente y que la mera aprobación del CPP no es suficiente para darlo por superado.</w:t>
      </w:r>
    </w:p>
    <w:p w14:paraId="52E14DEC" w14:textId="42AB85B7" w:rsidR="00B07D02" w:rsidRDefault="00B07D02" w:rsidP="00B07D02">
      <w:pPr>
        <w:jc w:val="both"/>
      </w:pPr>
      <w:r>
        <w:t xml:space="preserve">En función a esto afirmamos que Uruguay deberá prestar especial atención al modo en que los operadores interpretarán y pondrán en práctica los principios e institutos procesales que regula el nuevo ordenamiento </w:t>
      </w:r>
      <w:r w:rsidR="00AB7379">
        <w:t xml:space="preserve">normativo, para evitar que se generen </w:t>
      </w:r>
      <w:r w:rsidR="000A2050">
        <w:t>dinámicas</w:t>
      </w:r>
      <w:r w:rsidR="00AB7379">
        <w:t xml:space="preserve"> que desvirtúen al sistema</w:t>
      </w:r>
      <w:r>
        <w:t>.</w:t>
      </w:r>
    </w:p>
    <w:p w14:paraId="797238E3" w14:textId="23AA1FFA" w:rsidR="00B07D02" w:rsidRDefault="00B07D02" w:rsidP="00B07D02">
      <w:pPr>
        <w:jc w:val="both"/>
      </w:pPr>
      <w:r>
        <w:t xml:space="preserve">En lo relativo a la audiencia de medida cautelar, en este trabajo hemos planteado un </w:t>
      </w:r>
      <w:r w:rsidR="00975287" w:rsidRPr="00975287">
        <w:rPr>
          <w:b/>
        </w:rPr>
        <w:t>modo de comprensión de la “semi</w:t>
      </w:r>
      <w:r w:rsidRPr="00975287">
        <w:rPr>
          <w:b/>
        </w:rPr>
        <w:t>plena prueba”, remarcando que ella no implica la rendición y producción del material probatorio. Por el contrario, implica que las partes argumenten en favor de sus decisiones a partir de la información de respaldo que han recolectado en sus investigaciones</w:t>
      </w:r>
      <w:r>
        <w:t>.</w:t>
      </w:r>
    </w:p>
    <w:p w14:paraId="077E74C0" w14:textId="2761D5D4" w:rsidR="00B07D02" w:rsidRDefault="00AB7379" w:rsidP="00922F43">
      <w:pPr>
        <w:jc w:val="both"/>
      </w:pPr>
      <w:r>
        <w:t>Ahora bien, a la par de la reinterpretación legal deben generarse nuevos mecanismos y dinámicas de trabajo que sean consistentes con la lógica acusatoria que se está implementado.  En virtud de ello, e</w:t>
      </w:r>
      <w:r w:rsidR="00B07D02">
        <w:t xml:space="preserve">n lo que sigue delinearemos una posible agenda de trabajo para el funcionamiento efectivo de la audiencia de medida cautelar bajo </w:t>
      </w:r>
      <w:r w:rsidR="00793124">
        <w:t>la nueva exegética</w:t>
      </w:r>
      <w:r w:rsidR="00B07D02">
        <w:t xml:space="preserve"> del estándar de prueba.</w:t>
      </w:r>
    </w:p>
    <w:p w14:paraId="4D47D8C8" w14:textId="77777777" w:rsidR="008F3338" w:rsidRDefault="008F3338" w:rsidP="00FD6289">
      <w:pPr>
        <w:rPr>
          <w:b/>
          <w:i/>
        </w:rPr>
      </w:pPr>
    </w:p>
    <w:p w14:paraId="33F0EA23" w14:textId="7FBCD26C" w:rsidR="00CC615A" w:rsidRPr="00AB7379" w:rsidRDefault="00CC615A" w:rsidP="00FD6289">
      <w:pPr>
        <w:rPr>
          <w:b/>
          <w:i/>
        </w:rPr>
      </w:pPr>
      <w:r w:rsidRPr="00AB7379">
        <w:rPr>
          <w:b/>
          <w:i/>
        </w:rPr>
        <w:t>Fijación de criterios interpretativos</w:t>
      </w:r>
      <w:r w:rsidR="00AB7379" w:rsidRPr="00AB7379">
        <w:rPr>
          <w:b/>
          <w:i/>
        </w:rPr>
        <w:t xml:space="preserve"> comunes</w:t>
      </w:r>
    </w:p>
    <w:p w14:paraId="0661BEC2" w14:textId="77777777" w:rsidR="00A93224" w:rsidRDefault="00AB7379" w:rsidP="000A2050">
      <w:pPr>
        <w:jc w:val="both"/>
      </w:pPr>
      <w:r>
        <w:t xml:space="preserve">En este artículo hemos fijado una </w:t>
      </w:r>
      <w:r w:rsidRPr="005600B2">
        <w:rPr>
          <w:b/>
        </w:rPr>
        <w:t xml:space="preserve">postura analítica </w:t>
      </w:r>
      <w:r w:rsidR="00A93224" w:rsidRPr="005600B2">
        <w:rPr>
          <w:b/>
        </w:rPr>
        <w:t xml:space="preserve">sobre </w:t>
      </w:r>
      <w:r w:rsidRPr="005600B2">
        <w:rPr>
          <w:b/>
        </w:rPr>
        <w:t>el art. 224 del nuevo CPP.</w:t>
      </w:r>
      <w:r w:rsidR="00374304" w:rsidRPr="005600B2">
        <w:rPr>
          <w:b/>
        </w:rPr>
        <w:t xml:space="preserve"> </w:t>
      </w:r>
      <w:r w:rsidR="000A2050" w:rsidRPr="005600B2">
        <w:rPr>
          <w:b/>
        </w:rPr>
        <w:t>Este ejercicio debe ser asumido formalmente por las instituciones implicadas en la implementación del código. Se vuelve necesario dar seguimiento a las instancias de coordinación de forma que se consensue un modo común a través del cual se interpretará la cláusula relativa al estándar probatorio</w:t>
      </w:r>
      <w:r w:rsidR="000A2050">
        <w:t>.</w:t>
      </w:r>
    </w:p>
    <w:p w14:paraId="325BADB7" w14:textId="00ACB81F" w:rsidR="00B07D02" w:rsidRDefault="00A93224" w:rsidP="000A2050">
      <w:pPr>
        <w:jc w:val="both"/>
      </w:pPr>
      <w:r>
        <w:t xml:space="preserve">A su vez, </w:t>
      </w:r>
      <w:r w:rsidRPr="005600B2">
        <w:rPr>
          <w:b/>
        </w:rPr>
        <w:t>esa fijación de postura general podría estar acompañada de decisiones específicas sobre el modo de proceder en la audiencia</w:t>
      </w:r>
      <w:r>
        <w:t xml:space="preserve">: ¿qué fuente de información usará el fiscal? ¿Cómo proceder si se trata de la misma fuente requerida por la defensa? ¿Deberá la defensa aportar información propia para controvertir lo que afirme el fiscal? ¿El juez podrá solicitar la carpeta de investigación a las partes? </w:t>
      </w:r>
      <w:r w:rsidR="00B75C80">
        <w:t>¿Cómo debe proceder el juez si las partes no resuelven la veracidad de una información?</w:t>
      </w:r>
    </w:p>
    <w:p w14:paraId="42107324" w14:textId="59825569" w:rsidR="00374304" w:rsidRDefault="000A2050" w:rsidP="00922F43">
      <w:pPr>
        <w:jc w:val="both"/>
      </w:pPr>
      <w:r>
        <w:t xml:space="preserve">Si esto no se hiciere, se genera el riesgo de que la práctica cotidiana </w:t>
      </w:r>
      <w:r w:rsidR="005F7146">
        <w:t>provoque la interpretación antojadiza y heterogénea de esta cláusula</w:t>
      </w:r>
      <w:r>
        <w:t xml:space="preserve">. Esto se </w:t>
      </w:r>
      <w:r w:rsidR="00A93224">
        <w:t>revaloriza</w:t>
      </w:r>
      <w:r>
        <w:t xml:space="preserve"> si tomamos en cuenta </w:t>
      </w:r>
      <w:r w:rsidRPr="005600B2">
        <w:rPr>
          <w:color w:val="FF0000"/>
        </w:rPr>
        <w:t xml:space="preserve">que el nuevo CPP establece numerosos institutos procesales que son novedosos para los operadores, lo cual </w:t>
      </w:r>
      <w:r w:rsidR="005F7146" w:rsidRPr="005600B2">
        <w:rPr>
          <w:color w:val="FF0000"/>
        </w:rPr>
        <w:t xml:space="preserve">aumenta las probabilidades </w:t>
      </w:r>
      <w:r w:rsidR="00A93224" w:rsidRPr="005600B2">
        <w:rPr>
          <w:color w:val="FF0000"/>
        </w:rPr>
        <w:t xml:space="preserve">de </w:t>
      </w:r>
      <w:r w:rsidR="005F7146" w:rsidRPr="005600B2">
        <w:rPr>
          <w:color w:val="FF0000"/>
        </w:rPr>
        <w:t xml:space="preserve">que </w:t>
      </w:r>
      <w:r w:rsidR="00A93224" w:rsidRPr="005600B2">
        <w:rPr>
          <w:color w:val="FF0000"/>
        </w:rPr>
        <w:t>-</w:t>
      </w:r>
      <w:r w:rsidR="00B75C80" w:rsidRPr="005600B2">
        <w:rPr>
          <w:color w:val="FF0000"/>
        </w:rPr>
        <w:t>ante</w:t>
      </w:r>
      <w:r w:rsidR="005F7146" w:rsidRPr="005600B2">
        <w:rPr>
          <w:color w:val="FF0000"/>
        </w:rPr>
        <w:t xml:space="preserve"> lo nuevo</w:t>
      </w:r>
      <w:r w:rsidR="00A93224" w:rsidRPr="005600B2">
        <w:rPr>
          <w:color w:val="FF0000"/>
        </w:rPr>
        <w:t xml:space="preserve"> y desconocido</w:t>
      </w:r>
      <w:r w:rsidR="005F7146" w:rsidRPr="005600B2">
        <w:rPr>
          <w:color w:val="FF0000"/>
        </w:rPr>
        <w:t xml:space="preserve">- se retorne a lo </w:t>
      </w:r>
      <w:r w:rsidR="00B75C80" w:rsidRPr="005600B2">
        <w:rPr>
          <w:color w:val="FF0000"/>
        </w:rPr>
        <w:t>antiguo</w:t>
      </w:r>
      <w:r w:rsidR="005F7146" w:rsidRPr="005600B2">
        <w:rPr>
          <w:color w:val="FF0000"/>
        </w:rPr>
        <w:t xml:space="preserve"> y seguro</w:t>
      </w:r>
      <w:r w:rsidR="005F7146">
        <w:t>.</w:t>
      </w:r>
    </w:p>
    <w:p w14:paraId="365A9D0D" w14:textId="77777777" w:rsidR="008F3338" w:rsidRDefault="008F3338" w:rsidP="00374304">
      <w:pPr>
        <w:rPr>
          <w:b/>
          <w:i/>
        </w:rPr>
      </w:pPr>
    </w:p>
    <w:p w14:paraId="7B1AC9C9" w14:textId="77777777" w:rsidR="00374304" w:rsidRPr="00374304" w:rsidRDefault="00374304" w:rsidP="00374304">
      <w:pPr>
        <w:rPr>
          <w:b/>
          <w:i/>
        </w:rPr>
      </w:pPr>
      <w:r w:rsidRPr="00374304">
        <w:rPr>
          <w:b/>
          <w:i/>
        </w:rPr>
        <w:t>Capacitación en la dinámica de la audiencia de medida cautelar</w:t>
      </w:r>
    </w:p>
    <w:p w14:paraId="6B285151" w14:textId="77777777" w:rsidR="00920209" w:rsidRDefault="00920209" w:rsidP="00920209">
      <w:pPr>
        <w:jc w:val="both"/>
      </w:pPr>
      <w:r>
        <w:t xml:space="preserve">La formación en contextos de reforma judicial se ha caracterizado por dos aspectos: por un lado, se la ha concebido como un espacio de entrega de información por parte del docente, quien lidera la clase y es quien transmite un conocimiento que se presume incontrovertible; y, por otro lado, se ha entendido como un mecanismo que puede resolver todos los problemas de los operadores. </w:t>
      </w:r>
    </w:p>
    <w:p w14:paraId="29C48AF0" w14:textId="02572774" w:rsidR="00B75C80" w:rsidRDefault="00920209" w:rsidP="00920209">
      <w:pPr>
        <w:jc w:val="both"/>
      </w:pPr>
      <w:r>
        <w:lastRenderedPageBreak/>
        <w:t xml:space="preserve">Ambas ideas son </w:t>
      </w:r>
      <w:r w:rsidR="00B75C80">
        <w:t>inexactas</w:t>
      </w:r>
      <w:r>
        <w:t xml:space="preserve">. </w:t>
      </w:r>
      <w:r w:rsidR="00B75C80">
        <w:t>En realidad, la capacitación consiste en un espacio de construcción de criterios y resolución de problemas puntuales que se producen</w:t>
      </w:r>
      <w:r w:rsidR="00222199">
        <w:t xml:space="preserve"> o podrían producirse</w:t>
      </w:r>
      <w:r w:rsidR="00B75C80">
        <w:t xml:space="preserve"> en la práctica judicial. </w:t>
      </w:r>
      <w:r w:rsidR="00222199">
        <w:t>Los cursos de formación deberían favorecer un intercambio abierto entre los participantes, para que estos puedan socializar sus dudas, inquietudes e incertezas frente a la nueva regulación procesal. De hecho, estos espacios son los naturales para dar consistencia y validar entre los operadores aquellos criterios comunes a los que nos referíamos en el apartado anterior.</w:t>
      </w:r>
    </w:p>
    <w:p w14:paraId="6C6A1EAA" w14:textId="2B35136D" w:rsidR="00B75C80" w:rsidRDefault="00222199" w:rsidP="00920209">
      <w:pPr>
        <w:jc w:val="both"/>
      </w:pPr>
      <w:r>
        <w:t xml:space="preserve">En esta lógica, la capacitación se convierte en una </w:t>
      </w:r>
      <w:r w:rsidR="00B75C80">
        <w:t xml:space="preserve">estrategia horizontal en donde el protagonismo </w:t>
      </w:r>
      <w:r>
        <w:t xml:space="preserve">radica en </w:t>
      </w:r>
      <w:r w:rsidR="00B75C80">
        <w:t>el participante</w:t>
      </w:r>
      <w:r>
        <w:t xml:space="preserve"> y el docente es un facilitador y orientador de las discusiones. Por eso afirmamos que la enseñanza es tan solo </w:t>
      </w:r>
      <w:r w:rsidR="00B75C80">
        <w:t xml:space="preserve">una dimensión </w:t>
      </w:r>
      <w:r>
        <w:t xml:space="preserve">del proceso de implementación, </w:t>
      </w:r>
      <w:r w:rsidR="00B75C80">
        <w:t xml:space="preserve">que debe ser acompañada de otras, como </w:t>
      </w:r>
      <w:r>
        <w:t>los planes operativos y las reformas organizacionales.</w:t>
      </w:r>
    </w:p>
    <w:p w14:paraId="6CA18DF0" w14:textId="5C535C8C" w:rsidR="00222199" w:rsidRDefault="00222199" w:rsidP="00920209">
      <w:pPr>
        <w:jc w:val="both"/>
      </w:pPr>
      <w:r w:rsidRPr="005600B2">
        <w:rPr>
          <w:b/>
        </w:rPr>
        <w:t>En relación a la audiencia de medida cautelar, consideramos necesario que se robustezcan los espacios de trabajo interinstitucional en donde participen todos los actores que estarán involucrados en ella (por lo mínimo, jueces, fiscales y defensores)</w:t>
      </w:r>
      <w:r>
        <w:t>. En estos espacios se podrá construir y discutir sobre una dinámica compartida acerca de la audiencia pues, tal como venimos afirmando, su éxito estará dado por la claridad y horizonte común que tengan los operadores.</w:t>
      </w:r>
    </w:p>
    <w:p w14:paraId="4F2D25A1" w14:textId="77777777" w:rsidR="00920209" w:rsidRPr="00374304" w:rsidRDefault="00920209" w:rsidP="00FD6289"/>
    <w:p w14:paraId="7A7963F4" w14:textId="0C1E07A5" w:rsidR="00CC615A" w:rsidRPr="00374304" w:rsidRDefault="00CC615A" w:rsidP="00FD6289">
      <w:pPr>
        <w:rPr>
          <w:b/>
          <w:i/>
        </w:rPr>
      </w:pPr>
      <w:r w:rsidRPr="00374304">
        <w:rPr>
          <w:b/>
          <w:i/>
        </w:rPr>
        <w:t>Desarrollar métodos de recolección de información</w:t>
      </w:r>
    </w:p>
    <w:p w14:paraId="7717F711" w14:textId="54BE7419" w:rsidR="00374304" w:rsidRDefault="00222199" w:rsidP="00222199">
      <w:pPr>
        <w:jc w:val="both"/>
      </w:pPr>
      <w:r>
        <w:t>El sistema escrito-inquisitivo es indulgente con la falta de preparación de los litigantes, en tanto permite encubrir los planteos bajo ropajes técnicos que se alejan de la realidad de la víctima y el imputado. En cambio, el sistema por audiencias visi</w:t>
      </w:r>
      <w:r w:rsidR="004B0C34">
        <w:t>biliza las reales intenciones que se tienen</w:t>
      </w:r>
      <w:r w:rsidR="003577D2">
        <w:t xml:space="preserve"> y las expone ante la contraparte y el público, quienes ejercerán un control activo</w:t>
      </w:r>
      <w:r w:rsidR="004B0C34">
        <w:t xml:space="preserve">. </w:t>
      </w:r>
    </w:p>
    <w:p w14:paraId="7F12E234" w14:textId="6D3D67E6" w:rsidR="004B0C34" w:rsidRDefault="004B0C34" w:rsidP="00222199">
      <w:pPr>
        <w:jc w:val="both"/>
      </w:pPr>
      <w:r>
        <w:t xml:space="preserve">En función a ello, tanto el fiscal como el defensor se encuentran frente a un desafío trascendente: </w:t>
      </w:r>
      <w:r w:rsidRPr="005600B2">
        <w:rPr>
          <w:b/>
        </w:rPr>
        <w:t>¿en base a qué información se discutirá en la audiencia de medida cautelar? Y, en particular: ¿cómo debe el fiscal configurar la materialidad y el riesgo procesal? ¿Cómo debe controvertirlo la defensa?</w:t>
      </w:r>
    </w:p>
    <w:p w14:paraId="2E6631C5" w14:textId="18563703" w:rsidR="003577D2" w:rsidRPr="005600B2" w:rsidRDefault="003577D2" w:rsidP="00222199">
      <w:pPr>
        <w:jc w:val="both"/>
        <w:rPr>
          <w:b/>
        </w:rPr>
      </w:pPr>
      <w:r>
        <w:t>Estos interrogantes se relacionan con las técnicas de recopilación de información que ambas partes deben desplegar con antelación a la audiencia. Tanto por disposición legal como por mandato convencional (nos referimos a las exigencias de l</w:t>
      </w:r>
      <w:r w:rsidR="00FF2792">
        <w:t xml:space="preserve">os tratados internacionales y </w:t>
      </w:r>
      <w:r>
        <w:t xml:space="preserve">las resoluciones del sistema interamericano), </w:t>
      </w:r>
      <w:r w:rsidRPr="005600B2">
        <w:rPr>
          <w:b/>
        </w:rPr>
        <w:t xml:space="preserve">los riesgos procesales deben vincularse con la situación personal del imputado y deben evitarse referencias abstractas o aquellas vinculadas al derecho penal sustantivo (como el tipo de delito imputado, la gravedad del hecho o el monto de pena en expectativa). Por ello se vuelve central que los litigantes cuenten con información sobre el caso en específico. </w:t>
      </w:r>
    </w:p>
    <w:p w14:paraId="67C7CB27" w14:textId="4069522D" w:rsidR="004B0C34" w:rsidRDefault="003577D2" w:rsidP="00222199">
      <w:pPr>
        <w:jc w:val="both"/>
      </w:pPr>
      <w:r>
        <w:t>Se sugiere que tanto el Ministerio Público como la Defensa puedan prever esta situación y generar políticas concretas para viabilizar el trabajo de los litigantes. De este modo, se favorecerá que cuenten con información de alta calidad al momento de co</w:t>
      </w:r>
      <w:bookmarkStart w:id="0" w:name="_GoBack"/>
      <w:bookmarkEnd w:id="0"/>
      <w:r>
        <w:t>ncurrir a la audiencia y realizar una alegación o solicitud ante el juez</w:t>
      </w:r>
      <w:r w:rsidRPr="005600B2">
        <w:rPr>
          <w:b/>
        </w:rPr>
        <w:t>. Esta mecánica no solo será beneficiosa para las partes, sino que también contribuye a que el juez adopte decisiones de alta calidad al término de la audiencia.</w:t>
      </w:r>
      <w:r>
        <w:t xml:space="preserve"> </w:t>
      </w:r>
    </w:p>
    <w:p w14:paraId="2E370A99" w14:textId="77777777" w:rsidR="00222199" w:rsidRDefault="00222199" w:rsidP="00FD6289"/>
    <w:p w14:paraId="19EB19A4" w14:textId="05CFC44E" w:rsidR="000B2FEF" w:rsidRPr="004E7CE1" w:rsidRDefault="000B2FEF" w:rsidP="00922F43">
      <w:pPr>
        <w:jc w:val="both"/>
        <w:rPr>
          <w:color w:val="FF0000"/>
        </w:rPr>
      </w:pPr>
    </w:p>
    <w:sectPr w:rsidR="000B2FEF" w:rsidRPr="004E7CE1">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EC092" w14:textId="77777777" w:rsidR="008429B6" w:rsidRDefault="008429B6" w:rsidP="00EA53F0">
      <w:pPr>
        <w:spacing w:after="0" w:line="240" w:lineRule="auto"/>
      </w:pPr>
      <w:r>
        <w:separator/>
      </w:r>
    </w:p>
  </w:endnote>
  <w:endnote w:type="continuationSeparator" w:id="0">
    <w:p w14:paraId="57A7FDB8" w14:textId="77777777" w:rsidR="008429B6" w:rsidRDefault="008429B6" w:rsidP="00EA5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561680"/>
      <w:docPartObj>
        <w:docPartGallery w:val="Page Numbers (Bottom of Page)"/>
        <w:docPartUnique/>
      </w:docPartObj>
    </w:sdtPr>
    <w:sdtEndPr>
      <w:rPr>
        <w:sz w:val="20"/>
      </w:rPr>
    </w:sdtEndPr>
    <w:sdtContent>
      <w:p w14:paraId="24878B06" w14:textId="41FC4860" w:rsidR="000F0E75" w:rsidRPr="000F0E75" w:rsidRDefault="000F0E75">
        <w:pPr>
          <w:pStyle w:val="Piedepgina"/>
          <w:jc w:val="right"/>
          <w:rPr>
            <w:sz w:val="20"/>
          </w:rPr>
        </w:pPr>
        <w:r w:rsidRPr="000F0E75">
          <w:rPr>
            <w:sz w:val="20"/>
          </w:rPr>
          <w:fldChar w:fldCharType="begin"/>
        </w:r>
        <w:r w:rsidRPr="000F0E75">
          <w:rPr>
            <w:sz w:val="20"/>
          </w:rPr>
          <w:instrText>PAGE   \* MERGEFORMAT</w:instrText>
        </w:r>
        <w:r w:rsidRPr="000F0E75">
          <w:rPr>
            <w:sz w:val="20"/>
          </w:rPr>
          <w:fldChar w:fldCharType="separate"/>
        </w:r>
        <w:r w:rsidR="005600B2" w:rsidRPr="005600B2">
          <w:rPr>
            <w:noProof/>
            <w:sz w:val="20"/>
            <w:lang w:val="es-ES"/>
          </w:rPr>
          <w:t>11</w:t>
        </w:r>
        <w:r w:rsidRPr="000F0E75">
          <w:rPr>
            <w:sz w:val="20"/>
          </w:rPr>
          <w:fldChar w:fldCharType="end"/>
        </w:r>
      </w:p>
    </w:sdtContent>
  </w:sdt>
  <w:p w14:paraId="7EED39EC" w14:textId="77777777" w:rsidR="000F0E75" w:rsidRDefault="000F0E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89B3B9" w14:textId="77777777" w:rsidR="008429B6" w:rsidRDefault="008429B6" w:rsidP="00EA53F0">
      <w:pPr>
        <w:spacing w:after="0" w:line="240" w:lineRule="auto"/>
      </w:pPr>
      <w:r>
        <w:separator/>
      </w:r>
    </w:p>
  </w:footnote>
  <w:footnote w:type="continuationSeparator" w:id="0">
    <w:p w14:paraId="6093C307" w14:textId="77777777" w:rsidR="008429B6" w:rsidRDefault="008429B6" w:rsidP="00EA53F0">
      <w:pPr>
        <w:spacing w:after="0" w:line="240" w:lineRule="auto"/>
      </w:pPr>
      <w:r>
        <w:continuationSeparator/>
      </w:r>
    </w:p>
  </w:footnote>
  <w:footnote w:id="1">
    <w:p w14:paraId="76EAD0B9" w14:textId="77777777" w:rsidR="00EA53F0" w:rsidRPr="001E094A" w:rsidRDefault="00EA53F0" w:rsidP="001E094A">
      <w:pPr>
        <w:pStyle w:val="Textonotapie"/>
        <w:jc w:val="both"/>
      </w:pPr>
      <w:r w:rsidRPr="001E094A">
        <w:rPr>
          <w:rStyle w:val="Refdenotaalpie"/>
        </w:rPr>
        <w:footnoteRef/>
      </w:r>
      <w:r w:rsidRPr="001E094A">
        <w:t xml:space="preserve"> </w:t>
      </w:r>
      <w:r w:rsidR="003533F6" w:rsidRPr="001E094A">
        <w:t>Coordinador</w:t>
      </w:r>
      <w:r w:rsidRPr="001E094A">
        <w:t xml:space="preserve"> del Área de Estudios y Proyectos del CEJA</w:t>
      </w:r>
    </w:p>
  </w:footnote>
  <w:footnote w:id="2">
    <w:p w14:paraId="2956436B" w14:textId="77777777" w:rsidR="00EA53F0" w:rsidRPr="001E094A" w:rsidRDefault="00EA53F0" w:rsidP="001E094A">
      <w:pPr>
        <w:pStyle w:val="Textonotapie"/>
        <w:jc w:val="both"/>
      </w:pPr>
      <w:r w:rsidRPr="001E094A">
        <w:rPr>
          <w:rStyle w:val="Refdenotaalpie"/>
        </w:rPr>
        <w:footnoteRef/>
      </w:r>
      <w:r w:rsidRPr="001E094A">
        <w:t xml:space="preserve"> </w:t>
      </w:r>
      <w:r w:rsidR="003533F6" w:rsidRPr="001E094A">
        <w:t>Coordinador</w:t>
      </w:r>
      <w:r w:rsidRPr="001E094A">
        <w:t xml:space="preserve"> del Área de Capacitación del CEJA</w:t>
      </w:r>
    </w:p>
  </w:footnote>
  <w:footnote w:id="3">
    <w:p w14:paraId="318BB39D" w14:textId="6C84A8D9" w:rsidR="001E094A" w:rsidRDefault="001E094A" w:rsidP="001E094A">
      <w:pPr>
        <w:pStyle w:val="Textonotapie"/>
        <w:jc w:val="both"/>
      </w:pPr>
      <w:r w:rsidRPr="001E094A">
        <w:rPr>
          <w:rStyle w:val="Refdenotaalpie"/>
        </w:rPr>
        <w:footnoteRef/>
      </w:r>
      <w:r w:rsidRPr="001E094A">
        <w:t xml:space="preserve"> Este </w:t>
      </w:r>
      <w:r w:rsidR="008F3338" w:rsidRPr="001E094A">
        <w:t>artículo</w:t>
      </w:r>
      <w:r w:rsidRPr="001E094A">
        <w:t xml:space="preserve"> cont</w:t>
      </w:r>
      <w:r>
        <w:t>ó con el apoyo</w:t>
      </w:r>
      <w:r w:rsidRPr="001E094A">
        <w:t xml:space="preserve"> de la investigadora de CEJA, Bárbara Soto</w:t>
      </w:r>
      <w:r>
        <w:t>,</w:t>
      </w:r>
      <w:r w:rsidRPr="001E094A">
        <w:t xml:space="preserve"> quien realizó labores de levantamiento de información.</w:t>
      </w:r>
    </w:p>
  </w:footnote>
  <w:footnote w:id="4">
    <w:p w14:paraId="6D651D3C" w14:textId="77777777" w:rsidR="006801EA" w:rsidRPr="006801EA" w:rsidRDefault="006801EA" w:rsidP="006801EA">
      <w:pPr>
        <w:pStyle w:val="Textonotapie"/>
        <w:jc w:val="both"/>
        <w:rPr>
          <w:sz w:val="18"/>
        </w:rPr>
      </w:pPr>
      <w:r w:rsidRPr="006801EA">
        <w:rPr>
          <w:rStyle w:val="Refdenotaalpie"/>
          <w:sz w:val="18"/>
        </w:rPr>
        <w:footnoteRef/>
      </w:r>
      <w:r w:rsidRPr="006801EA">
        <w:rPr>
          <w:sz w:val="18"/>
        </w:rPr>
        <w:t xml:space="preserve"> Este párrafo ha sido redactado sobre la base del documento “Propuestas de Reforma Normativa al Sistema Procesal Penal de Uruguay”</w:t>
      </w:r>
      <w:r>
        <w:rPr>
          <w:sz w:val="18"/>
        </w:rPr>
        <w:t>, elaborado por CEJA y entregado al Ministerio del Interior del Uruguay en el marco de un proyecto de asistencia técnica para acompañar el proceso de implementación del nuevo Código del Proceso Penal en el país.</w:t>
      </w:r>
    </w:p>
  </w:footnote>
  <w:footnote w:id="5">
    <w:p w14:paraId="5B1F7DEE" w14:textId="77777777" w:rsidR="000548E4" w:rsidRPr="000548E4" w:rsidRDefault="000548E4" w:rsidP="000548E4">
      <w:pPr>
        <w:pStyle w:val="Textonotapie"/>
        <w:jc w:val="both"/>
        <w:rPr>
          <w:sz w:val="18"/>
        </w:rPr>
      </w:pPr>
      <w:r w:rsidRPr="000548E4">
        <w:rPr>
          <w:rStyle w:val="Refdenotaalpie"/>
          <w:sz w:val="18"/>
        </w:rPr>
        <w:footnoteRef/>
      </w:r>
      <w:r w:rsidRPr="000548E4">
        <w:rPr>
          <w:sz w:val="18"/>
        </w:rPr>
        <w:t xml:space="preserve"> Corte IDH, Caso López Álvarez vs. Honduras, Sentencia del 1º de febrero de 2006, considerando 67</w:t>
      </w:r>
    </w:p>
  </w:footnote>
  <w:footnote w:id="6">
    <w:p w14:paraId="76F85B22" w14:textId="60CEEB3F" w:rsidR="00C0395F" w:rsidRPr="00C0395F" w:rsidRDefault="00C0395F" w:rsidP="007918D2">
      <w:pPr>
        <w:pStyle w:val="Textonotapie"/>
        <w:jc w:val="both"/>
        <w:rPr>
          <w:lang w:val="es-ES"/>
        </w:rPr>
      </w:pPr>
      <w:r>
        <w:rPr>
          <w:rStyle w:val="Refdenotaalpie"/>
        </w:rPr>
        <w:footnoteRef/>
      </w:r>
      <w:r>
        <w:t xml:space="preserve"> </w:t>
      </w:r>
      <w:r>
        <w:rPr>
          <w:lang w:val="es-ES"/>
        </w:rPr>
        <w:t>Ley</w:t>
      </w:r>
      <w:r w:rsidR="00D36D62">
        <w:rPr>
          <w:lang w:val="es-ES"/>
        </w:rPr>
        <w:t xml:space="preserve"> Nº</w:t>
      </w:r>
      <w:r w:rsidR="00900E61">
        <w:rPr>
          <w:lang w:val="es-ES"/>
        </w:rPr>
        <w:t xml:space="preserve"> 27.063, sancionada</w:t>
      </w:r>
      <w:r>
        <w:rPr>
          <w:lang w:val="es-ES"/>
        </w:rPr>
        <w:t xml:space="preserve"> el 4 d</w:t>
      </w:r>
      <w:r w:rsidR="00900E61">
        <w:rPr>
          <w:lang w:val="es-ES"/>
        </w:rPr>
        <w:t>e diciembre de 2014 y promulgada</w:t>
      </w:r>
      <w:r>
        <w:rPr>
          <w:lang w:val="es-ES"/>
        </w:rPr>
        <w:t xml:space="preserve"> </w:t>
      </w:r>
      <w:r w:rsidR="00900E61">
        <w:rPr>
          <w:lang w:val="es-ES"/>
        </w:rPr>
        <w:t xml:space="preserve">según decreto 2321/2014 </w:t>
      </w:r>
      <w:r>
        <w:rPr>
          <w:lang w:val="es-ES"/>
        </w:rPr>
        <w:t xml:space="preserve">el 9 de diciembre de 2014. </w:t>
      </w:r>
      <w:r w:rsidR="00900E61">
        <w:rPr>
          <w:lang w:val="es-ES"/>
        </w:rPr>
        <w:t>Aún no entra en vigencia.</w:t>
      </w:r>
    </w:p>
  </w:footnote>
  <w:footnote w:id="7">
    <w:p w14:paraId="33E9B989" w14:textId="7F879396" w:rsidR="00C0395F" w:rsidRPr="00C0395F" w:rsidRDefault="00C0395F" w:rsidP="007918D2">
      <w:pPr>
        <w:pStyle w:val="Textonotapie"/>
        <w:jc w:val="both"/>
      </w:pPr>
      <w:r>
        <w:rPr>
          <w:rStyle w:val="Refdenotaalpie"/>
        </w:rPr>
        <w:footnoteRef/>
      </w:r>
      <w:r w:rsidR="007918D2">
        <w:t xml:space="preserve"> </w:t>
      </w:r>
      <w:r w:rsidR="00D36D62">
        <w:t>Proyecto de L</w:t>
      </w:r>
      <w:r>
        <w:t>ey</w:t>
      </w:r>
      <w:r w:rsidR="00EF219B">
        <w:t xml:space="preserve"> </w:t>
      </w:r>
      <w:r w:rsidR="00D36D62">
        <w:t xml:space="preserve">Nº </w:t>
      </w:r>
      <w:r w:rsidR="00EF219B">
        <w:t>122</w:t>
      </w:r>
      <w:r w:rsidR="00D36D62">
        <w:t>/2017-2018</w:t>
      </w:r>
      <w:r>
        <w:t xml:space="preserve">. La fecha del proyecto de ley en la exposición de motivos es </w:t>
      </w:r>
      <w:r w:rsidR="007918D2">
        <w:t>25 de noviembre de 2016 y l</w:t>
      </w:r>
      <w:r>
        <w:t>a fecha de ingreso del proyecto a la Asamblea Legislativa es el</w:t>
      </w:r>
      <w:r w:rsidR="00EF219B">
        <w:t xml:space="preserve"> 16</w:t>
      </w:r>
      <w:r w:rsidR="00221342">
        <w:t xml:space="preserve"> de febrero de 2017.</w:t>
      </w:r>
    </w:p>
  </w:footnote>
  <w:footnote w:id="8">
    <w:p w14:paraId="348C3C3A" w14:textId="2590E327" w:rsidR="00C0395F" w:rsidRPr="00C0395F" w:rsidRDefault="00C0395F" w:rsidP="007918D2">
      <w:pPr>
        <w:pStyle w:val="Textonotapie"/>
        <w:jc w:val="both"/>
      </w:pPr>
      <w:r>
        <w:rPr>
          <w:rStyle w:val="Refdenotaalpie"/>
        </w:rPr>
        <w:footnoteRef/>
      </w:r>
      <w:r>
        <w:t xml:space="preserve"> Ley </w:t>
      </w:r>
      <w:r w:rsidR="00D36D62">
        <w:t xml:space="preserve">Nº </w:t>
      </w:r>
      <w:r>
        <w:t>19.696</w:t>
      </w:r>
      <w:r w:rsidR="007918D2">
        <w:t xml:space="preserve">, promulgada el </w:t>
      </w:r>
      <w:r>
        <w:t>29 de septiembre de 2000</w:t>
      </w:r>
      <w:r w:rsidR="007918D2">
        <w:t xml:space="preserve"> y publicada el</w:t>
      </w:r>
      <w:r>
        <w:t xml:space="preserve"> 12 de octubre de 2000.</w:t>
      </w:r>
    </w:p>
  </w:footnote>
  <w:footnote w:id="9">
    <w:p w14:paraId="5B649252" w14:textId="7954726F" w:rsidR="00EF219B" w:rsidRPr="00EF219B" w:rsidRDefault="00EF219B" w:rsidP="007918D2">
      <w:pPr>
        <w:pStyle w:val="Textonotapie"/>
        <w:jc w:val="both"/>
      </w:pPr>
      <w:r>
        <w:rPr>
          <w:rStyle w:val="Refdenotaalpie"/>
        </w:rPr>
        <w:footnoteRef/>
      </w:r>
      <w:r>
        <w:t xml:space="preserve"> Ley </w:t>
      </w:r>
      <w:r w:rsidR="00D36D62">
        <w:t xml:space="preserve">Nº </w:t>
      </w:r>
      <w:r>
        <w:t>906</w:t>
      </w:r>
      <w:r w:rsidR="007918D2">
        <w:t xml:space="preserve"> p</w:t>
      </w:r>
      <w:r w:rsidR="007918D2" w:rsidRPr="007918D2">
        <w:t>or la cual se expide el</w:t>
      </w:r>
      <w:r w:rsidR="007918D2">
        <w:t xml:space="preserve"> Código de Procedimiento Penal </w:t>
      </w:r>
      <w:r w:rsidR="007918D2" w:rsidRPr="007918D2">
        <w:t>(Corregida de conformidad con el Decreto 2770 de 2004, reformado por Ley 1312/09</w:t>
      </w:r>
      <w:r w:rsidR="007918D2">
        <w:t xml:space="preserve">), expedida el 31 de agosto de 2004 y con </w:t>
      </w:r>
      <w:r>
        <w:t>fecha de entrada en vigencia 1 de enero de 2005.</w:t>
      </w:r>
    </w:p>
  </w:footnote>
  <w:footnote w:id="10">
    <w:p w14:paraId="49C96A2D" w14:textId="71876FAE" w:rsidR="00D36D62" w:rsidRPr="00D36D62" w:rsidRDefault="00D36D62" w:rsidP="00614A2C">
      <w:pPr>
        <w:pStyle w:val="Textonotapie"/>
        <w:jc w:val="both"/>
      </w:pPr>
      <w:r>
        <w:rPr>
          <w:rStyle w:val="Refdenotaalpie"/>
        </w:rPr>
        <w:footnoteRef/>
      </w:r>
      <w:r>
        <w:t xml:space="preserve"> </w:t>
      </w:r>
      <w:r w:rsidR="0001190D">
        <w:t>Decreto Nº 733</w:t>
      </w:r>
      <w:r w:rsidR="007918D2">
        <w:t xml:space="preserve"> emitido el </w:t>
      </w:r>
      <w:r w:rsidR="00900E61">
        <w:t xml:space="preserve">22 de octubre de 2008, </w:t>
      </w:r>
      <w:r w:rsidR="007918D2">
        <w:t xml:space="preserve">publicado el </w:t>
      </w:r>
      <w:r w:rsidR="00900E61">
        <w:t>30 de enero de 2009 y con fecha de entrada en vigencia el 1 de julio de 2009.</w:t>
      </w:r>
    </w:p>
  </w:footnote>
  <w:footnote w:id="11">
    <w:p w14:paraId="3B5FD78D" w14:textId="36F69BD8" w:rsidR="0001190D" w:rsidRPr="0001190D" w:rsidRDefault="0001190D" w:rsidP="00EC5F77">
      <w:pPr>
        <w:pStyle w:val="Textonotapie"/>
        <w:jc w:val="both"/>
      </w:pPr>
      <w:r>
        <w:rPr>
          <w:rStyle w:val="Refdenotaalpie"/>
        </w:rPr>
        <w:footnoteRef/>
      </w:r>
      <w:r>
        <w:t xml:space="preserve"> </w:t>
      </w:r>
      <w:r w:rsidR="00221342">
        <w:t>Decreto Nº 9-99-E</w:t>
      </w:r>
      <w:r w:rsidR="007918D2">
        <w:t xml:space="preserve"> de</w:t>
      </w:r>
      <w:r w:rsidR="00614A2C">
        <w:t xml:space="preserve"> fecha 30 de diciembre de 1999</w:t>
      </w:r>
      <w:r w:rsidR="00900E61">
        <w:t>, publicado el 20 de mayo de 2000 y</w:t>
      </w:r>
      <w:r w:rsidR="00614A2C">
        <w:t xml:space="preserve"> con fecha de entrada en vigencia el 20 de febrero de 2002.</w:t>
      </w:r>
    </w:p>
  </w:footnote>
  <w:footnote w:id="12">
    <w:p w14:paraId="2683E171" w14:textId="5C5CB6E0" w:rsidR="00221342" w:rsidRPr="00221342" w:rsidRDefault="00221342" w:rsidP="00614A2C">
      <w:pPr>
        <w:pStyle w:val="Textonotapie"/>
        <w:jc w:val="both"/>
      </w:pPr>
      <w:r>
        <w:rPr>
          <w:rStyle w:val="Refdenotaalpie"/>
        </w:rPr>
        <w:footnoteRef/>
      </w:r>
      <w:r>
        <w:t xml:space="preserve"> </w:t>
      </w:r>
      <w:r w:rsidR="00614A2C">
        <w:t>Decreto por el que se expide el Código Nacional de Procedimientos Penales publicado el 5 de marzo de 2014 en el Diario Oficial de la Federación.</w:t>
      </w:r>
    </w:p>
  </w:footnote>
  <w:footnote w:id="13">
    <w:p w14:paraId="14541F6F" w14:textId="64D35A16" w:rsidR="00922F43" w:rsidRDefault="00922F43">
      <w:pPr>
        <w:pStyle w:val="Textonotapie"/>
      </w:pPr>
      <w:r>
        <w:rPr>
          <w:rStyle w:val="Refdenotaalpie"/>
        </w:rPr>
        <w:footnoteRef/>
      </w:r>
      <w:r>
        <w:t xml:space="preserve"> </w:t>
      </w:r>
      <w:r>
        <w:rPr>
          <w:sz w:val="18"/>
          <w:szCs w:val="18"/>
        </w:rPr>
        <w:t>DUCE, Mauricio y</w:t>
      </w:r>
      <w:r w:rsidRPr="00922F43">
        <w:rPr>
          <w:sz w:val="18"/>
          <w:szCs w:val="18"/>
        </w:rPr>
        <w:t xml:space="preserve"> </w:t>
      </w:r>
      <w:r>
        <w:rPr>
          <w:sz w:val="18"/>
          <w:szCs w:val="18"/>
        </w:rPr>
        <w:t>RIEGO, Cristián: “</w:t>
      </w:r>
      <w:r w:rsidRPr="00922F43">
        <w:rPr>
          <w:i/>
          <w:sz w:val="18"/>
          <w:szCs w:val="18"/>
        </w:rPr>
        <w:t>Proceso penal</w:t>
      </w:r>
      <w:r>
        <w:rPr>
          <w:sz w:val="18"/>
          <w:szCs w:val="18"/>
        </w:rPr>
        <w:t>”</w:t>
      </w:r>
      <w:r w:rsidRPr="00922F43">
        <w:rPr>
          <w:sz w:val="18"/>
          <w:szCs w:val="18"/>
        </w:rPr>
        <w:t>, Editorial Jurídica de Chile,</w:t>
      </w:r>
      <w:r w:rsidR="00DE54AB">
        <w:rPr>
          <w:sz w:val="18"/>
          <w:szCs w:val="18"/>
        </w:rPr>
        <w:t xml:space="preserve"> </w:t>
      </w:r>
      <w:r w:rsidR="00DE54AB" w:rsidRPr="00CD7FC3">
        <w:rPr>
          <w:sz w:val="18"/>
        </w:rPr>
        <w:t xml:space="preserve">1ª </w:t>
      </w:r>
      <w:proofErr w:type="spellStart"/>
      <w:r w:rsidR="00DE54AB" w:rsidRPr="00CD7FC3">
        <w:rPr>
          <w:sz w:val="18"/>
        </w:rPr>
        <w:t>ed</w:t>
      </w:r>
      <w:proofErr w:type="spellEnd"/>
      <w:r w:rsidR="00DE54AB">
        <w:rPr>
          <w:sz w:val="18"/>
        </w:rPr>
        <w:t>,</w:t>
      </w:r>
      <w:r w:rsidR="00DE54AB">
        <w:rPr>
          <w:sz w:val="18"/>
          <w:szCs w:val="18"/>
        </w:rPr>
        <w:t xml:space="preserve"> 2007, p. 274</w:t>
      </w:r>
      <w:r w:rsidRPr="00922F43">
        <w:rPr>
          <w:sz w:val="18"/>
          <w:szCs w:val="18"/>
        </w:rPr>
        <w:t>.</w:t>
      </w:r>
    </w:p>
  </w:footnote>
  <w:footnote w:id="14">
    <w:p w14:paraId="0A8D59D0" w14:textId="1A52F487" w:rsidR="00CD7FC3" w:rsidRPr="00CD7FC3" w:rsidRDefault="00CD7FC3" w:rsidP="00CD7FC3">
      <w:pPr>
        <w:pStyle w:val="Textonotapie"/>
        <w:jc w:val="both"/>
        <w:rPr>
          <w:sz w:val="18"/>
        </w:rPr>
      </w:pPr>
      <w:r w:rsidRPr="00CD7FC3">
        <w:rPr>
          <w:rStyle w:val="Refdenotaalpie"/>
          <w:sz w:val="18"/>
        </w:rPr>
        <w:footnoteRef/>
      </w:r>
      <w:r w:rsidRPr="00CD7FC3">
        <w:rPr>
          <w:sz w:val="18"/>
        </w:rPr>
        <w:t xml:space="preserve"> BINDER, Alberto: “</w:t>
      </w:r>
      <w:r w:rsidRPr="00CD7FC3">
        <w:rPr>
          <w:i/>
          <w:sz w:val="18"/>
        </w:rPr>
        <w:t>La implementación de la nueva justicia penal adversarial</w:t>
      </w:r>
      <w:r w:rsidRPr="00CD7FC3">
        <w:rPr>
          <w:sz w:val="18"/>
        </w:rPr>
        <w:t>”, Ad-Hoc, 1ª ed., Bs. As, 2012, p. 143-173.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9035C"/>
    <w:multiLevelType w:val="hybridMultilevel"/>
    <w:tmpl w:val="3DFAF3D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289"/>
    <w:rsid w:val="0001190D"/>
    <w:rsid w:val="00024416"/>
    <w:rsid w:val="000548E4"/>
    <w:rsid w:val="00071034"/>
    <w:rsid w:val="000A19EA"/>
    <w:rsid w:val="000A2050"/>
    <w:rsid w:val="000B2FEF"/>
    <w:rsid w:val="000F0E75"/>
    <w:rsid w:val="00101BD9"/>
    <w:rsid w:val="00135C7A"/>
    <w:rsid w:val="001C329E"/>
    <w:rsid w:val="001E094A"/>
    <w:rsid w:val="00221342"/>
    <w:rsid w:val="00222199"/>
    <w:rsid w:val="002F17A2"/>
    <w:rsid w:val="002F1DDC"/>
    <w:rsid w:val="002F54D2"/>
    <w:rsid w:val="003309AA"/>
    <w:rsid w:val="00336698"/>
    <w:rsid w:val="00340D77"/>
    <w:rsid w:val="003533F6"/>
    <w:rsid w:val="003577D2"/>
    <w:rsid w:val="00374304"/>
    <w:rsid w:val="00374E97"/>
    <w:rsid w:val="004324C0"/>
    <w:rsid w:val="004B0C34"/>
    <w:rsid w:val="004B4388"/>
    <w:rsid w:val="004E7CE1"/>
    <w:rsid w:val="005428FB"/>
    <w:rsid w:val="005544C2"/>
    <w:rsid w:val="005600B2"/>
    <w:rsid w:val="005F7146"/>
    <w:rsid w:val="00614A2C"/>
    <w:rsid w:val="006801EA"/>
    <w:rsid w:val="006D02F1"/>
    <w:rsid w:val="006E2004"/>
    <w:rsid w:val="006F43A1"/>
    <w:rsid w:val="007918D2"/>
    <w:rsid w:val="00793124"/>
    <w:rsid w:val="007D0926"/>
    <w:rsid w:val="007F019A"/>
    <w:rsid w:val="008429B6"/>
    <w:rsid w:val="008B56DA"/>
    <w:rsid w:val="008F3338"/>
    <w:rsid w:val="00900E61"/>
    <w:rsid w:val="00901879"/>
    <w:rsid w:val="009028EB"/>
    <w:rsid w:val="00920209"/>
    <w:rsid w:val="00922F43"/>
    <w:rsid w:val="0094135D"/>
    <w:rsid w:val="00944A78"/>
    <w:rsid w:val="00975287"/>
    <w:rsid w:val="00994298"/>
    <w:rsid w:val="009F393F"/>
    <w:rsid w:val="00A244E5"/>
    <w:rsid w:val="00A34EAB"/>
    <w:rsid w:val="00A714B5"/>
    <w:rsid w:val="00A85C82"/>
    <w:rsid w:val="00A93224"/>
    <w:rsid w:val="00AB1039"/>
    <w:rsid w:val="00AB1FE5"/>
    <w:rsid w:val="00AB7379"/>
    <w:rsid w:val="00B07D02"/>
    <w:rsid w:val="00B75C80"/>
    <w:rsid w:val="00B90C0B"/>
    <w:rsid w:val="00BA378C"/>
    <w:rsid w:val="00BB1128"/>
    <w:rsid w:val="00BC0ACD"/>
    <w:rsid w:val="00BD59C0"/>
    <w:rsid w:val="00BF75A7"/>
    <w:rsid w:val="00C0395F"/>
    <w:rsid w:val="00C34CE4"/>
    <w:rsid w:val="00C3695F"/>
    <w:rsid w:val="00CC2568"/>
    <w:rsid w:val="00CC615A"/>
    <w:rsid w:val="00CD7FC3"/>
    <w:rsid w:val="00D13C30"/>
    <w:rsid w:val="00D36D62"/>
    <w:rsid w:val="00D751F1"/>
    <w:rsid w:val="00DC3DD7"/>
    <w:rsid w:val="00DD118B"/>
    <w:rsid w:val="00DE3C72"/>
    <w:rsid w:val="00DE54AB"/>
    <w:rsid w:val="00EA53F0"/>
    <w:rsid w:val="00EC33CE"/>
    <w:rsid w:val="00EC5F77"/>
    <w:rsid w:val="00EF219B"/>
    <w:rsid w:val="00F00DAD"/>
    <w:rsid w:val="00F201A2"/>
    <w:rsid w:val="00F31E4C"/>
    <w:rsid w:val="00F4107D"/>
    <w:rsid w:val="00F47CA9"/>
    <w:rsid w:val="00F849DE"/>
    <w:rsid w:val="00F86D9D"/>
    <w:rsid w:val="00FD2D70"/>
    <w:rsid w:val="00FD6289"/>
    <w:rsid w:val="00FF279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D6289"/>
    <w:pPr>
      <w:ind w:left="720"/>
      <w:contextualSpacing/>
    </w:pPr>
  </w:style>
  <w:style w:type="paragraph" w:styleId="Textonotapie">
    <w:name w:val="footnote text"/>
    <w:basedOn w:val="Normal"/>
    <w:link w:val="TextonotapieCar"/>
    <w:uiPriority w:val="99"/>
    <w:unhideWhenUsed/>
    <w:rsid w:val="00EA53F0"/>
    <w:pPr>
      <w:spacing w:after="0" w:line="240" w:lineRule="auto"/>
    </w:pPr>
    <w:rPr>
      <w:sz w:val="20"/>
      <w:szCs w:val="20"/>
    </w:rPr>
  </w:style>
  <w:style w:type="character" w:customStyle="1" w:styleId="TextonotapieCar">
    <w:name w:val="Texto nota pie Car"/>
    <w:basedOn w:val="Fuentedeprrafopredeter"/>
    <w:link w:val="Textonotapie"/>
    <w:uiPriority w:val="99"/>
    <w:rsid w:val="00EA53F0"/>
    <w:rPr>
      <w:sz w:val="20"/>
      <w:szCs w:val="20"/>
    </w:rPr>
  </w:style>
  <w:style w:type="character" w:styleId="Refdenotaalpie">
    <w:name w:val="footnote reference"/>
    <w:basedOn w:val="Fuentedeprrafopredeter"/>
    <w:uiPriority w:val="99"/>
    <w:semiHidden/>
    <w:unhideWhenUsed/>
    <w:rsid w:val="00EA53F0"/>
    <w:rPr>
      <w:vertAlign w:val="superscript"/>
    </w:rPr>
  </w:style>
  <w:style w:type="paragraph" w:styleId="Encabezado">
    <w:name w:val="header"/>
    <w:basedOn w:val="Normal"/>
    <w:link w:val="EncabezadoCar"/>
    <w:uiPriority w:val="99"/>
    <w:unhideWhenUsed/>
    <w:rsid w:val="000F0E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0E75"/>
  </w:style>
  <w:style w:type="paragraph" w:styleId="Piedepgina">
    <w:name w:val="footer"/>
    <w:basedOn w:val="Normal"/>
    <w:link w:val="PiedepginaCar"/>
    <w:uiPriority w:val="99"/>
    <w:unhideWhenUsed/>
    <w:rsid w:val="000F0E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0E75"/>
  </w:style>
  <w:style w:type="paragraph" w:styleId="NormalWeb">
    <w:name w:val="Normal (Web)"/>
    <w:basedOn w:val="Normal"/>
    <w:uiPriority w:val="99"/>
    <w:unhideWhenUsed/>
    <w:rsid w:val="00901879"/>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Refdecomentario">
    <w:name w:val="annotation reference"/>
    <w:basedOn w:val="Fuentedeprrafopredeter"/>
    <w:uiPriority w:val="99"/>
    <w:semiHidden/>
    <w:unhideWhenUsed/>
    <w:rsid w:val="00BA378C"/>
    <w:rPr>
      <w:sz w:val="16"/>
      <w:szCs w:val="16"/>
    </w:rPr>
  </w:style>
  <w:style w:type="paragraph" w:styleId="Textocomentario">
    <w:name w:val="annotation text"/>
    <w:basedOn w:val="Normal"/>
    <w:link w:val="TextocomentarioCar"/>
    <w:uiPriority w:val="99"/>
    <w:semiHidden/>
    <w:unhideWhenUsed/>
    <w:rsid w:val="00BA378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378C"/>
    <w:rPr>
      <w:sz w:val="20"/>
      <w:szCs w:val="20"/>
    </w:rPr>
  </w:style>
  <w:style w:type="paragraph" w:styleId="Asuntodelcomentario">
    <w:name w:val="annotation subject"/>
    <w:basedOn w:val="Textocomentario"/>
    <w:next w:val="Textocomentario"/>
    <w:link w:val="AsuntodelcomentarioCar"/>
    <w:uiPriority w:val="99"/>
    <w:semiHidden/>
    <w:unhideWhenUsed/>
    <w:rsid w:val="00BA378C"/>
    <w:rPr>
      <w:b/>
      <w:bCs/>
    </w:rPr>
  </w:style>
  <w:style w:type="character" w:customStyle="1" w:styleId="AsuntodelcomentarioCar">
    <w:name w:val="Asunto del comentario Car"/>
    <w:basedOn w:val="TextocomentarioCar"/>
    <w:link w:val="Asuntodelcomentario"/>
    <w:uiPriority w:val="99"/>
    <w:semiHidden/>
    <w:rsid w:val="00BA378C"/>
    <w:rPr>
      <w:b/>
      <w:bCs/>
      <w:sz w:val="20"/>
      <w:szCs w:val="20"/>
    </w:rPr>
  </w:style>
  <w:style w:type="paragraph" w:styleId="Textodeglobo">
    <w:name w:val="Balloon Text"/>
    <w:basedOn w:val="Normal"/>
    <w:link w:val="TextodegloboCar"/>
    <w:uiPriority w:val="99"/>
    <w:semiHidden/>
    <w:unhideWhenUsed/>
    <w:rsid w:val="00BA378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378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D6289"/>
    <w:pPr>
      <w:ind w:left="720"/>
      <w:contextualSpacing/>
    </w:pPr>
  </w:style>
  <w:style w:type="paragraph" w:styleId="Textonotapie">
    <w:name w:val="footnote text"/>
    <w:basedOn w:val="Normal"/>
    <w:link w:val="TextonotapieCar"/>
    <w:uiPriority w:val="99"/>
    <w:unhideWhenUsed/>
    <w:rsid w:val="00EA53F0"/>
    <w:pPr>
      <w:spacing w:after="0" w:line="240" w:lineRule="auto"/>
    </w:pPr>
    <w:rPr>
      <w:sz w:val="20"/>
      <w:szCs w:val="20"/>
    </w:rPr>
  </w:style>
  <w:style w:type="character" w:customStyle="1" w:styleId="TextonotapieCar">
    <w:name w:val="Texto nota pie Car"/>
    <w:basedOn w:val="Fuentedeprrafopredeter"/>
    <w:link w:val="Textonotapie"/>
    <w:uiPriority w:val="99"/>
    <w:rsid w:val="00EA53F0"/>
    <w:rPr>
      <w:sz w:val="20"/>
      <w:szCs w:val="20"/>
    </w:rPr>
  </w:style>
  <w:style w:type="character" w:styleId="Refdenotaalpie">
    <w:name w:val="footnote reference"/>
    <w:basedOn w:val="Fuentedeprrafopredeter"/>
    <w:uiPriority w:val="99"/>
    <w:semiHidden/>
    <w:unhideWhenUsed/>
    <w:rsid w:val="00EA53F0"/>
    <w:rPr>
      <w:vertAlign w:val="superscript"/>
    </w:rPr>
  </w:style>
  <w:style w:type="paragraph" w:styleId="Encabezado">
    <w:name w:val="header"/>
    <w:basedOn w:val="Normal"/>
    <w:link w:val="EncabezadoCar"/>
    <w:uiPriority w:val="99"/>
    <w:unhideWhenUsed/>
    <w:rsid w:val="000F0E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0E75"/>
  </w:style>
  <w:style w:type="paragraph" w:styleId="Piedepgina">
    <w:name w:val="footer"/>
    <w:basedOn w:val="Normal"/>
    <w:link w:val="PiedepginaCar"/>
    <w:uiPriority w:val="99"/>
    <w:unhideWhenUsed/>
    <w:rsid w:val="000F0E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0E75"/>
  </w:style>
  <w:style w:type="paragraph" w:styleId="NormalWeb">
    <w:name w:val="Normal (Web)"/>
    <w:basedOn w:val="Normal"/>
    <w:uiPriority w:val="99"/>
    <w:unhideWhenUsed/>
    <w:rsid w:val="00901879"/>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Refdecomentario">
    <w:name w:val="annotation reference"/>
    <w:basedOn w:val="Fuentedeprrafopredeter"/>
    <w:uiPriority w:val="99"/>
    <w:semiHidden/>
    <w:unhideWhenUsed/>
    <w:rsid w:val="00BA378C"/>
    <w:rPr>
      <w:sz w:val="16"/>
      <w:szCs w:val="16"/>
    </w:rPr>
  </w:style>
  <w:style w:type="paragraph" w:styleId="Textocomentario">
    <w:name w:val="annotation text"/>
    <w:basedOn w:val="Normal"/>
    <w:link w:val="TextocomentarioCar"/>
    <w:uiPriority w:val="99"/>
    <w:semiHidden/>
    <w:unhideWhenUsed/>
    <w:rsid w:val="00BA378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378C"/>
    <w:rPr>
      <w:sz w:val="20"/>
      <w:szCs w:val="20"/>
    </w:rPr>
  </w:style>
  <w:style w:type="paragraph" w:styleId="Asuntodelcomentario">
    <w:name w:val="annotation subject"/>
    <w:basedOn w:val="Textocomentario"/>
    <w:next w:val="Textocomentario"/>
    <w:link w:val="AsuntodelcomentarioCar"/>
    <w:uiPriority w:val="99"/>
    <w:semiHidden/>
    <w:unhideWhenUsed/>
    <w:rsid w:val="00BA378C"/>
    <w:rPr>
      <w:b/>
      <w:bCs/>
    </w:rPr>
  </w:style>
  <w:style w:type="character" w:customStyle="1" w:styleId="AsuntodelcomentarioCar">
    <w:name w:val="Asunto del comentario Car"/>
    <w:basedOn w:val="TextocomentarioCar"/>
    <w:link w:val="Asuntodelcomentario"/>
    <w:uiPriority w:val="99"/>
    <w:semiHidden/>
    <w:rsid w:val="00BA378C"/>
    <w:rPr>
      <w:b/>
      <w:bCs/>
      <w:sz w:val="20"/>
      <w:szCs w:val="20"/>
    </w:rPr>
  </w:style>
  <w:style w:type="paragraph" w:styleId="Textodeglobo">
    <w:name w:val="Balloon Text"/>
    <w:basedOn w:val="Normal"/>
    <w:link w:val="TextodegloboCar"/>
    <w:uiPriority w:val="99"/>
    <w:semiHidden/>
    <w:unhideWhenUsed/>
    <w:rsid w:val="00BA378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37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33463">
      <w:bodyDiv w:val="1"/>
      <w:marLeft w:val="0"/>
      <w:marRight w:val="0"/>
      <w:marTop w:val="0"/>
      <w:marBottom w:val="0"/>
      <w:divBdr>
        <w:top w:val="none" w:sz="0" w:space="0" w:color="auto"/>
        <w:left w:val="none" w:sz="0" w:space="0" w:color="auto"/>
        <w:bottom w:val="none" w:sz="0" w:space="0" w:color="auto"/>
        <w:right w:val="none" w:sz="0" w:space="0" w:color="auto"/>
      </w:divBdr>
      <w:divsChild>
        <w:div w:id="1968124456">
          <w:marLeft w:val="0"/>
          <w:marRight w:val="0"/>
          <w:marTop w:val="0"/>
          <w:marBottom w:val="0"/>
          <w:divBdr>
            <w:top w:val="none" w:sz="0" w:space="0" w:color="auto"/>
            <w:left w:val="none" w:sz="0" w:space="0" w:color="auto"/>
            <w:bottom w:val="none" w:sz="0" w:space="0" w:color="auto"/>
            <w:right w:val="none" w:sz="0" w:space="0" w:color="auto"/>
          </w:divBdr>
        </w:div>
        <w:div w:id="1098908258">
          <w:marLeft w:val="0"/>
          <w:marRight w:val="0"/>
          <w:marTop w:val="0"/>
          <w:marBottom w:val="0"/>
          <w:divBdr>
            <w:top w:val="none" w:sz="0" w:space="0" w:color="auto"/>
            <w:left w:val="none" w:sz="0" w:space="0" w:color="auto"/>
            <w:bottom w:val="none" w:sz="0" w:space="0" w:color="auto"/>
            <w:right w:val="none" w:sz="0" w:space="0" w:color="auto"/>
          </w:divBdr>
        </w:div>
        <w:div w:id="2107188475">
          <w:marLeft w:val="0"/>
          <w:marRight w:val="0"/>
          <w:marTop w:val="0"/>
          <w:marBottom w:val="0"/>
          <w:divBdr>
            <w:top w:val="none" w:sz="0" w:space="0" w:color="auto"/>
            <w:left w:val="none" w:sz="0" w:space="0" w:color="auto"/>
            <w:bottom w:val="none" w:sz="0" w:space="0" w:color="auto"/>
            <w:right w:val="none" w:sz="0" w:space="0" w:color="auto"/>
          </w:divBdr>
        </w:div>
        <w:div w:id="1086073183">
          <w:marLeft w:val="0"/>
          <w:marRight w:val="0"/>
          <w:marTop w:val="0"/>
          <w:marBottom w:val="0"/>
          <w:divBdr>
            <w:top w:val="none" w:sz="0" w:space="0" w:color="auto"/>
            <w:left w:val="none" w:sz="0" w:space="0" w:color="auto"/>
            <w:bottom w:val="none" w:sz="0" w:space="0" w:color="auto"/>
            <w:right w:val="none" w:sz="0" w:space="0" w:color="auto"/>
          </w:divBdr>
        </w:div>
        <w:div w:id="959645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90055-8835-4878-B337-19444F38A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12</Pages>
  <Words>4927</Words>
  <Characters>27101</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Leonel Gonzalez</dc:creator>
  <cp:keywords/>
  <dc:description/>
  <cp:lastModifiedBy>User</cp:lastModifiedBy>
  <cp:revision>5</cp:revision>
  <dcterms:created xsi:type="dcterms:W3CDTF">2017-04-21T14:35:00Z</dcterms:created>
  <dcterms:modified xsi:type="dcterms:W3CDTF">2017-07-25T00:01:00Z</dcterms:modified>
</cp:coreProperties>
</file>